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 (نحو 228.8 مليون ريال بسعر الربط 3.75)، (ب) سوق مورّدين مجزَّأ (HHI (مؤشر يقيس تركّز/احتكار السوق: فوق 2500 يعني سيطرة لاعب واحد)≈2350،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(نحو 228.8 مليون ريال بسعر الربط 3.75) عام 2023 (UN</w:t>
      </w:r>
    </w:p>
    <w:p>
      <w: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واصلة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 (تقييم البنك الدولي لجودة الشحن واللوجستيات من 5)).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 (نحو 228.8 مليون ريال بسعر الربط 3.75)،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مسرد المصطلحات</w:t>
      </w:r>
    </w:p>
    <w:p>
      <w:pPr>
        <w:pStyle w:val="ListBullet"/>
      </w:pPr>
      <w:r>
        <w:t>HHI: مؤشر يقيس تركّز/احتكار السوق: فوق 2500 يعني سيطرة لاعب واحد</w:t>
      </w:r>
    </w:p>
    <w:p>
      <w:pPr>
        <w:pStyle w:val="ListBullet"/>
      </w:pPr>
      <w:r>
        <w:t>TAM: إجمالي حجم السوق الكلي المتاح نظرياً</w:t>
      </w:r>
    </w:p>
    <w:p>
      <w:pPr>
        <w:pStyle w:val="ListBullet"/>
      </w:pPr>
      <w:r>
        <w:t>SAM: الجزء من السوق الذي يمكن خدمته فعلاً بالمنتج والقنوات المتاحة</w:t>
      </w:r>
    </w:p>
    <w:p>
      <w:pPr>
        <w:pStyle w:val="ListBullet"/>
      </w:pPr>
      <w:r>
        <w:t>SOM: الحصة الواقعية القابلة للالتقاط في المدى القصير</w:t>
      </w:r>
    </w:p>
    <w:p>
      <w:pPr>
        <w:pStyle w:val="ListBullet"/>
      </w:pPr>
      <w:r>
        <w:t>LPI: تقييم البنك الدولي لجودة الشحن واللوجستيات من 5</w:t>
      </w:r>
    </w:p>
    <w:p>
      <w:pPr>
        <w:pStyle w:val="ListBullet"/>
      </w:pPr>
      <w:r>
        <w:t>WGI: مؤشرات الحوكمة العالمية للبنك الدولي: استقرار سياسي وسيادة قانون وجودة تنظيم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