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(31%)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(TAM)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2026-07-20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2026-07-20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2026-07-20 | ثقة: عالية (90%)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عالية (75%)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عالية (75%)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2026-07-20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2026-07-20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2026-07-20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2026-07-20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2026-07-20 | ثقة: عالية (85%)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(official portals / EUR-Lex) | سُحب: 2026-07-20 | ثقة: عالية (80%)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(31%))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