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(‏مؤشر يقيس تركّز السوق بين المورّدين: فوق 2500 تركّز مرتفع‏)≈2100)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 (‏66%‏)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(‏UN Comtrade‏)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(‏Google Trends‏).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(‏UN Comtrade‏)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(‏9.0$/كغم‏)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(‏6.0$‏) وداخل نطاق المتوسطة (‏10.0$‏)،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(‏تقييم البنك الدولي لجودة الشحن واللوجستيات من 5‏)).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(‏9.20€‏)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(‏14.00€‏)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(‏BRC/IFS‏)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المراجع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(‏Albert Heijn، EU 2017/625، Eurostat، Google Trends، Jumbo، UN Comtrade‏)، مع تحليل تقاطعي بينها ومراجعة للاتساق قبل الاعتماد. خضعت كل معلومة للتحقّق من مصدرها العمومي المباشر. أحدث تاريخ جمع بيانات: 2026-07-02. قائمة المراجع الكاملة بروابطها الرسمية ختام التقرير.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Eurostat (مسح ميزانية الأسرة) — https://ec.europa.eu/eurostat/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Google Trends — https://trends.google.com/trends/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UN Comtrade — https://comtradeplus.un.org/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WITS/WTO Tariff — https://wits.worldbank.org/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World Bank — https://data.albankaldawli.org/ (‏تاريخ الجمع: 2026-07-02‏)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