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مستوى 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(UN Comtrade)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الديموغرافيا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مؤشّر ثقة الدراسة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 (مصدر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 (مصدر واحد غير رسمي)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تونس: حصة 31.0%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تركّز المورّدين HHI=2100.0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Eurostat (مسح ميزانية الأسرة)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https://ec.europa.eu/eurostat/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سجلّات رسمية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