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سِلك — تقرير بحث سوق: تمور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China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2026-07-17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سنة البيانات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2023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البيانات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منهجية البحث</w:t>
      </w:r>
    </w:p>
    <w:p>
      <w:pPr>
        <w:bidi/>
        <w:jc w:val="start"/>
      </w:pPr>
      <w:r>
        <w:rPr>
          <w:rFonts w:ascii="Arial" w:hAnsi="Arial" w:cs="Arial"/>
          <w:rtl/>
        </w:rPr>
        <w:t>3. تعريف السوق ونطاقه</w:t>
      </w:r>
    </w:p>
    <w:p>
      <w:pPr>
        <w:bidi/>
        <w:jc w:val="start"/>
      </w:pPr>
      <w:r>
        <w:rPr>
          <w:rFonts w:ascii="Arial" w:hAnsi="Arial" w:cs="Arial"/>
          <w:rtl/>
        </w:rPr>
        <w:t>4. نظرة عامة على السوق</w:t>
      </w:r>
    </w:p>
    <w:p>
      <w:pPr>
        <w:bidi/>
        <w:jc w:val="start"/>
      </w:pPr>
      <w:r>
        <w:rPr>
          <w:rFonts w:ascii="Arial" w:hAnsi="Arial" w:cs="Arial"/>
          <w:rtl/>
        </w:rPr>
        <w:t>5.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6. حجم السوق والتوقعات</w:t>
      </w:r>
    </w:p>
    <w:p>
      <w:pPr>
        <w:bidi/>
        <w:jc w:val="start"/>
      </w:pPr>
      <w:r>
        <w:rPr>
          <w:rFonts w:ascii="Arial" w:hAnsi="Arial" w:cs="Arial"/>
          <w:rtl/>
        </w:rPr>
        <w:t>7. تحليل التقسيم</w:t>
      </w:r>
    </w:p>
    <w:p>
      <w:pPr>
        <w:bidi/>
        <w:jc w:val="start"/>
      </w:pPr>
      <w:r>
        <w:rPr>
          <w:rFonts w:ascii="Arial" w:hAnsi="Arial" w:cs="Arial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Arial" w:hAnsi="Arial" w:cs="Arial"/>
          <w:rtl/>
        </w:rPr>
        <w:t>9. الأسواق المرشّحة الأخرى</w:t>
      </w:r>
    </w:p>
    <w:p>
      <w:pPr>
        <w:bidi/>
        <w:jc w:val="start"/>
      </w:pPr>
      <w:r>
        <w:rPr>
          <w:rFonts w:ascii="Arial" w:hAnsi="Arial" w:cs="Arial"/>
          <w:rtl/>
        </w:rPr>
        <w:t>10.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11. استخبارات العميل والطلب</w:t>
      </w:r>
    </w:p>
    <w:p>
      <w:pPr>
        <w:bidi/>
        <w:jc w:val="start"/>
      </w:pPr>
      <w:r>
        <w:rPr>
          <w:rFonts w:ascii="Arial" w:hAnsi="Arial" w:cs="Arial"/>
          <w:rtl/>
        </w:rPr>
        <w:t>12. المشهد التنظيمي والمخاطر</w:t>
      </w:r>
    </w:p>
    <w:p>
      <w:pPr>
        <w:bidi/>
        <w:jc w:val="start"/>
      </w:pPr>
      <w:r>
        <w:rPr>
          <w:rFonts w:ascii="Arial" w:hAnsi="Arial" w:cs="Arial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Arial" w:hAnsi="Arial" w:cs="Arial"/>
          <w:rtl/>
        </w:rPr>
        <w:t>14.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Arial" w:hAnsi="Arial" w:cs="Arial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Arial" w:hAnsi="Arial" w:cs="Arial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Arial" w:hAnsi="Arial" w:cs="Arial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start"/>
      </w:pPr>
      <w:r>
        <w:rPr>
          <w:rFonts w:ascii="Arial" w:hAnsi="Arial" w:cs="Arial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٣. تعريف السوق ونطاقه</w:t>
      </w:r>
    </w:p>
    <w:p>
      <w:pPr>
        <w:bidi/>
        <w:jc w:val="start"/>
      </w:pPr>
      <w:r>
        <w:rPr>
          <w:rFonts w:ascii="Arial" w:hAnsi="Arial" w:cs="Arial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قرار الدخول</w:t>
      </w:r>
    </w:p>
    <w:p>
      <w:pPr>
        <w:bidi/>
        <w:jc w:val="start"/>
      </w:pPr>
      <w:r>
        <w:rPr>
          <w:rFonts w:ascii="Arial" w:hAnsi="Arial" w:cs="Arial"/>
          <w:rtl/>
        </w:rPr>
        <w:t>الحكم: دخول مشروط | النقاط: 0.636 | الثقة: منخفضة (31%)</w:t>
      </w:r>
    </w:p>
    <w:p>
      <w:pPr>
        <w:bidi/>
        <w:jc w:val="start"/>
      </w:pPr>
      <w:r>
        <w:rPr>
          <w:rFonts w:ascii="Arial" w:hAnsi="Arial" w:cs="Arial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Arial" w:hAnsi="Arial" w:cs="Arial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start"/>
      </w:pPr>
      <w:r>
        <w:rPr>
          <w:rFonts w:ascii="Arial" w:hAnsi="Arial" w:cs="Arial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جاذبية السوق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0.892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income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المنافسة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0.63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named_density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التنظيم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0.375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tariff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الربحية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0.75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margin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أمان السوق (المخاطر)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Arial" w:hAnsi="Arial" w:cs="Arial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start"/>
      </w:pPr>
      <w:r>
        <w:rPr>
          <w:rFonts w:ascii="Arial" w:hAnsi="Arial" w:cs="Arial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Arial" w:hAnsi="Arial" w:cs="Arial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Arial" w:hAnsi="Arial" w:cs="Arial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start"/>
      </w:pPr>
      <w:r>
        <w:rPr>
          <w:rFonts w:ascii="Arial" w:hAnsi="Arial" w:cs="Arial"/>
          <w:rtl/>
        </w:rPr>
        <w:t>قرار حتمي قابل للتفسير من حزمة §4b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٤. نظرة عامة على السوق</w:t>
      </w:r>
    </w:p>
    <w:p>
      <w:pPr>
        <w:bidi/>
        <w:jc w:val="start"/>
      </w:pPr>
      <w:r>
        <w:rPr>
          <w:rFonts w:ascii="Arial" w:hAnsi="Arial" w:cs="Arial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٥.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(TAM)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60,000,000 USD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2026-07-17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نمو الواردات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2026-07-17 | ثقة: عالية (90%)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معدل النمو السنوي المركّب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22.5 %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2026-07-17 | ثقة: عالية (90%)</w:t>
            </w:r>
          </w:p>
        </w:tc>
      </w:tr>
    </w:tbl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Iran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50%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30.0 مليون دولار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Saudi Arabia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18.0 مليون دولار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Tunisia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20%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٩.1 China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Arial" w:hAnsi="Arial" w:cs="Arial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start"/>
      </w:pPr>
      <w:r>
        <w:rPr>
          <w:rFonts w:ascii="Arial" w:hAnsi="Arial" w:cs="Arial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تركّز الموردين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0.38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2026-07-17 | ثقة: عالية (90%)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المورّد الأكبر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2026-07-17 | ثقة: عالية (90%)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الحصة السعودية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30.0 %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2026-07-17 | ثقة: عالية (90%)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التسعير بطبقتيه</w:t>
      </w:r>
    </w:p>
    <w:p>
      <w:pPr>
        <w:bidi/>
        <w:jc w:val="start"/>
      </w:pPr>
      <w:r>
        <w:rPr>
          <w:rFonts w:ascii="Arial" w:hAnsi="Arial" w:cs="Arial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الوحدة عند الحدود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3.0 USD/kg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2026-07-17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سعر الوحدة السعودي عند الحدود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2.25 USD/kg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2026-07-17 | ثقة: عالية (85%)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الهامش عند الحدود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Arial" w:hAnsi="Arial" w:cs="Arial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start"/>
      </w:pPr>
      <w:r>
        <w:rPr>
          <w:rFonts w:ascii="Arial" w:hAnsi="Arial" w:cs="Arial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موقعك التنافسي</w:t>
      </w:r>
    </w:p>
    <w:p>
      <w:pPr>
        <w:bidi/>
        <w:jc w:val="star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١١. استخبارات العميل والطلب</w:t>
      </w:r>
    </w:p>
    <w:p>
      <w:pPr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وزارة التجارة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https://mc.gov.sa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https://www.sfda.gov.sa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هيئة تنمية الصادرات السعودية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المصدر: Silk L1 requirements reference (official portals / EUR-Lex) | سُحب: 2026-07-17 | ثقة: عالية (80%)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تركّز مصادر التوريد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بيانات منخفضة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Arial" w:hAnsi="Arial" w:cs="Arial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استراتيجية دخول السوق</w:t>
      </w:r>
    </w:p>
    <w:p>
      <w:pPr>
        <w:bidi/>
        <w:jc w:val="start"/>
      </w:pPr>
      <w:r>
        <w:rPr>
          <w:rFonts w:ascii="Arial" w:hAnsi="Arial" w:cs="Arial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Arial" w:hAnsi="Arial" w:cs="Arial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أكبر حصة مورّد واحد 50.0%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 — سوق الصين (ثقة منخفضة (31%))</w:t>
      </w:r>
    </w:p>
    <w:p>
      <w:pPr>
        <w:bidi/>
        <w:jc w:val="star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دليل المورّدين والمصنّعين</w:t>
      </w:r>
    </w:p>
    <w:p>
      <w:pPr>
        <w:bidi/>
        <w:jc w:val="start"/>
      </w:pPr>
      <w:r>
        <w:rPr>
          <w:rFonts w:ascii="Arial" w:hAnsi="Arial" w:cs="Arial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السوق والمنافسة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3/3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والتعريفة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0.75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المنافسون بالاسم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الأسعار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2/2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الطلب والقدرة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0/1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المخاطر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الاتجاه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أقسام دون عتبة الكفاية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Arial" w:hAnsi="Arial" w:cs="Arial"/>
          <w:rtl/>
        </w:rPr>
        <w:t>UN Comtrade: أسهم 18 من 18 محاولة</w:t>
      </w:r>
    </w:p>
    <w:p>
      <w:pPr>
        <w:bidi/>
        <w:jc w:val="start"/>
      </w:pPr>
      <w:r>
        <w:rPr>
          <w:rFonts w:ascii="Arial" w:hAnsi="Arial" w:cs="Arial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start"/>
      </w:pPr>
      <w:r>
        <w:rPr>
          <w:rFonts w:ascii="Arial" w:hAnsi="Arial" w:cs="Arial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Arial" w:hAnsi="Arial" w:cs="Arial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Arial" w:hAnsi="Arial" w:cs="Arial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