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سوق: تمور</w:t>
      </w:r>
    </w:p>
    <w:p>
      <w:r>
        <w:t>⚠ TEST RUN — تشغيل برهاني ببدائل موسومة (SILK_HERMETIC)، ليس تقريراً إنتاجياً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2026-07-13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سنة البيانات</w:t>
            </w:r>
          </w:p>
        </w:tc>
        <w:tc>
          <w:tcPr>
            <w:tcW w:type="dxa" w:w="4320"/>
            <w:shd w:val="clear" w:fill="F2F2F2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تغطية البيانات</w:t>
            </w:r>
          </w:p>
        </w:tc>
        <w:tc>
          <w:tcPr>
            <w:tcW w:type="dxa" w:w="4320"/>
          </w:tcPr>
          <w:p>
            <w:r>
              <w:t>42.1%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منهجية البحث</w:t>
      </w:r>
    </w:p>
    <w:p>
      <w:r>
        <w:t>3. تعريف السوق ونطاقه</w:t>
      </w:r>
    </w:p>
    <w:p>
      <w:r>
        <w:t>4. نظرة عامة على السوق</w:t>
      </w:r>
    </w:p>
    <w:p>
      <w:r>
        <w:t>5. ديناميكيات السوق</w:t>
      </w:r>
    </w:p>
    <w:p>
      <w:r>
        <w:t>6. حجم السوق والتوقعات</w:t>
      </w:r>
    </w:p>
    <w:p>
      <w:r>
        <w:t>7. تحليل التقسيم</w:t>
      </w:r>
    </w:p>
    <w:p>
      <w:r>
        <w:t>8. تحليل التجارة (استيراد/تصدير)</w:t>
      </w:r>
    </w:p>
    <w:p>
      <w:r>
        <w:t>9. التحليل الإقليمي</w:t>
      </w:r>
    </w:p>
    <w:p>
      <w:r>
        <w:t>10. المشهد التنافسي</w:t>
      </w:r>
    </w:p>
    <w:p>
      <w:r>
        <w:t>11. استخبارات العميل والطلب</w:t>
      </w:r>
    </w:p>
    <w:p>
      <w:r>
        <w:t>12. المشهد التنظيمي والمخاطر</w:t>
      </w:r>
    </w:p>
    <w:p>
      <w:r>
        <w:t>13. الاتجاهات والتوقع المستقبلي</w:t>
      </w:r>
    </w:p>
    <w:p>
      <w:r>
        <w:t>14. التوصيات الاستراتيجية</w:t>
      </w:r>
    </w:p>
    <w:p>
      <w:r>
        <w:t>الملحق (تغطية المصادر وأثرها)</w:t>
      </w:r>
    </w:p>
    <w:p>
      <w:pPr>
        <w:pStyle w:val="Heading1"/>
      </w:pPr>
      <w:r>
        <w:t>١. 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</w:pPr>
      <w:r>
        <w:t>٢. 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42.1%.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2/3 وكلاء أساسيون لديهم بيانات؛ فجوات: المؤشرات الاقتصادية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٣. تعريف السوق ونطاقه</w:t>
      </w:r>
    </w:p>
    <w:p>
      <w: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تعميقاً مدفوعاً عبر /deepen)،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1"/>
      </w:pPr>
      <w:r>
        <w:t>٤. نظرة عامة على السوق</w:t>
      </w:r>
    </w:p>
    <w:p>
      <w:r>
        <w:t>لم تُجمع إشارات نوعية عن حالة الصناعة في هذا التشغيل — يتطلب مفتاح بحث الويب.</w:t>
      </w:r>
    </w:p>
    <w:p>
      <w:pPr>
        <w:pStyle w:val="Heading1"/>
      </w:pPr>
      <w:r>
        <w:t>٥. ديناميكيات السوق</w:t>
      </w:r>
    </w:p>
    <w:p>
      <w: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</w:pPr>
      <w:r>
        <w:t>٦. حجم السوق والتوقعات</w:t>
      </w:r>
    </w:p>
    <w:p>
      <w:pPr>
        <w:pStyle w:val="Heading2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tam_usd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2026-07-13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import_growth_pct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رصد مباشر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2026-07-13 | ثقة: عالية (90%)</w:t>
            </w:r>
          </w:p>
        </w:tc>
      </w:tr>
      <w:tr>
        <w:tc>
          <w:tcPr>
            <w:tcW w:type="dxa" w:w="2160"/>
          </w:tcPr>
          <w:p>
            <w:r>
              <w:t>import_cagr_pct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2026-07-13 | ثقة: عالية (90%)</w:t>
            </w:r>
          </w:p>
        </w:tc>
      </w:tr>
    </w:tbl>
    <w:p>
      <w:pPr>
        <w:pStyle w:val="ListBullet"/>
      </w:pPr>
      <w:r>
        <w:t>غير متوفر: السوق القابل للخدمة (SAM): يتطلب TAM مرصوداً + شريحة tier في بطاقة المنتج (premium/mid/mass)</w:t>
      </w:r>
    </w:p>
    <w:p>
      <w:pPr>
        <w:pStyle w:val="ListBullet"/>
      </w:pPr>
      <w: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</w:pPr>
      <w:r>
        <w:t>٧. تحليل التقسيم</w:t>
      </w:r>
    </w:p>
    <w:p>
      <w:pPr>
        <w:pStyle w:val="Heading2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٨. تحليل التجارة (استيراد/تصدير)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2880"/>
          </w:tcPr>
          <w:p>
            <w:r>
              <w:t>Iran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30.0 مليون دولار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Saudi Arabia</w:t>
            </w:r>
          </w:p>
        </w:tc>
        <w:tc>
          <w:tcPr>
            <w:tcW w:type="dxa" w:w="2880"/>
            <w:shd w:val="clear" w:fill="F2F2F2"/>
          </w:tcPr>
          <w:p>
            <w:r>
              <w:t>30%</w:t>
            </w:r>
          </w:p>
        </w:tc>
        <w:tc>
          <w:tcPr>
            <w:tcW w:type="dxa" w:w="2880"/>
            <w:shd w:val="clear" w:fill="F2F2F2"/>
          </w:tcPr>
          <w:p>
            <w:r>
              <w:t>18.0 مليون دولار</w:t>
            </w:r>
          </w:p>
        </w:tc>
      </w:tr>
      <w:tr>
        <w:tc>
          <w:tcPr>
            <w:tcW w:type="dxa" w:w="2880"/>
          </w:tcPr>
          <w:p>
            <w:r>
              <w:t>Tunisia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12.0 مليون دولار</w:t>
            </w:r>
          </w:p>
        </w:tc>
      </w:tr>
    </w:tbl>
    <w:p>
      <w:pPr>
        <w:pStyle w:val="IntenseQuote"/>
      </w:pPr>
      <w:r>
        <w:t>المصدر: UN Comtrade</w:t>
      </w:r>
    </w:p>
    <w:p>
      <w:pPr>
        <w:pStyle w:val="Heading1"/>
      </w:pPr>
      <w:r>
        <w:t>٩. التحليل الإقليمي (الأسواق المرشّحة)</w:t>
      </w:r>
    </w:p>
    <w:p>
      <w:pPr>
        <w:pStyle w:val="Heading2"/>
      </w:pPr>
      <w:r>
        <w:t>٩.1 China</w:t>
      </w:r>
    </w:p>
    <w:p>
      <w:pPr>
        <w:pStyle w:val="ListBullet"/>
      </w:pPr>
      <w:r>
        <w:t>يستورد السوق ما قيمته 60.0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30%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2"/>
      </w:pPr>
      <w:r>
        <w:t>٩.2 United Arab Emirates</w:t>
      </w:r>
    </w:p>
    <w:p>
      <w:pPr>
        <w:pStyle w:val="ListBullet"/>
      </w:pPr>
      <w:r>
        <w:t>يستورد السوق ما قيمته 20.0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100%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1"/>
      </w:pPr>
      <w:r>
        <w:t>١٠. المشهد التنافسي</w:t>
      </w:r>
    </w:p>
    <w:p>
      <w:pPr>
        <w:pStyle w:val="Heading3"/>
      </w:pPr>
      <w:r>
        <w:t>شركات بالاسم (مرشّحون غير موثَّقين)</w:t>
      </w:r>
    </w:p>
    <w:p>
      <w:r>
        <w:t>لا شركات مرصودة بالاسم في هذا التشغيل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hhi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2026-07-13 | ثقة: عالية (90%)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top_supplier_share_pct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UN Comtrade | سُحب: 2026-07-13 | ثقة: عالية (90%)</w:t>
            </w:r>
          </w:p>
        </w:tc>
        <w:tc>
          <w:tcPr>
            <w:tcW w:type="dxa" w:w="2160"/>
            <w:shd w:val="clear" w:fill="F2F2F2"/>
          </w:tcPr>
          <w:p>
            <w:r>
              <w:t>حصة المورّد الأكبر: Iran</w:t>
            </w:r>
          </w:p>
        </w:tc>
      </w:tr>
      <w:tr>
        <w:tc>
          <w:tcPr>
            <w:tcW w:type="dxa" w:w="2160"/>
          </w:tcPr>
          <w:p>
            <w:r>
              <w:t>saudi_share_pct</w:t>
            </w:r>
          </w:p>
        </w:tc>
        <w:tc>
          <w:tcPr>
            <w:tcW w:type="dxa" w:w="2160"/>
          </w:tcPr>
          <w:p>
            <w:r>
              <w:t>30.0 %</w:t>
            </w:r>
          </w:p>
        </w:tc>
        <w:tc>
          <w:tcPr>
            <w:tcW w:type="dxa" w:w="2160"/>
          </w:tcPr>
          <w:p>
            <w:r>
              <w:t>UN Comtrade | سُحب: 2026-07-13 | ثقة: عالية (90%)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saudi_share_pct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margin_at_border_pct: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import_cagr_pct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—</w:t>
            </w:r>
          </w:p>
        </w:tc>
      </w:tr>
    </w:tbl>
    <w:p>
      <w:r>
        <w:t>خلايا مشتقة من الحقائق المتاحة — الخلية الفارغة تعني غياب البيانات، لا سلامة الجانب</w:t>
      </w:r>
    </w:p>
    <w:p>
      <w:pPr>
        <w:pStyle w:val="Heading2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border_unit_value_usd_kg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2026-07-13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saudi_border_unit_value_usd_kg</w:t>
            </w:r>
          </w:p>
        </w:tc>
        <w:tc>
          <w:tcPr>
            <w:tcW w:type="dxa" w:w="2160"/>
            <w:shd w:val="clear" w:fill="F2F2F2"/>
          </w:tcPr>
          <w:p>
            <w:r>
              <w:t>2.25 USD/kg</w:t>
            </w:r>
          </w:p>
        </w:tc>
        <w:tc>
          <w:tcPr>
            <w:tcW w:type="dxa" w:w="2160"/>
            <w:shd w:val="clear" w:fill="F2F2F2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2026-07-13 | ثقة: عالية (85%)</w:t>
            </w:r>
          </w:p>
        </w:tc>
      </w:tr>
      <w:tr>
        <w:tc>
          <w:tcPr>
            <w:tcW w:type="dxa" w:w="2160"/>
          </w:tcPr>
          <w:p>
            <w:r>
              <w:t>margin_at_border_pct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«border_unit_value_usd_kg»: قيمة الوحدة = قيمة الواردات ÷ الوزن الصافي (كلاهما مرصود من كومتريد)</w:t>
      </w:r>
    </w:p>
    <w:p>
      <w:pPr>
        <w:pStyle w:val="IntenseQuote"/>
      </w:pPr>
      <w:r>
        <w:t>معادلة «saudi_border_unit_value_usd_kg»: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retail_prices: LocalPriceAgent: paid agent outside /deepen — skipped (structural guard, no call attempted)؛ ولا نتائج Google Shopping مرصودة (requires SEARCH_API_KEY (or SERPER_API_KEY))</w:t>
      </w:r>
    </w:p>
    <w:p>
      <w:r>
        <w:t>مراجع الأسعار: غير مرصودة</w:t>
      </w:r>
    </w:p>
    <w:p>
      <w:pPr>
        <w:pStyle w:val="Heading2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١١. استخبارات العميل والطلب</w:t>
      </w:r>
    </w:p>
    <w:p>
      <w:r>
        <w:t>—</w:t>
      </w:r>
    </w:p>
    <w:p>
      <w: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</w:pPr>
      <w:r>
        <w:t>١٢. المشهد التنظيمي والمخاطر</w:t>
      </w:r>
    </w:p>
    <w:p>
      <w:pPr>
        <w:pStyle w:val="Heading2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الجهة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الاتجاه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  <w:shd w:val="clear" w:fill="F2F2F2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  <w:shd w:val="clear" w:fill="F2F2F2"/>
          </w:tcPr>
          <w:p>
            <w:r>
              <w:t>exit</w:t>
            </w:r>
          </w:p>
        </w:tc>
        <w:tc>
          <w:tcPr>
            <w:tcW w:type="dxa" w:w="2160"/>
            <w:shd w:val="clear" w:fill="F2F2F2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2026-07-13 | ثقة: عالية (80%)</w:t>
      </w:r>
    </w:p>
    <w:p>
      <w:pPr>
        <w:pStyle w:val="ListBullet"/>
      </w:pPr>
      <w:r>
        <w:t>غير متوفر: التعريفة الجمركية المطبّقة: WITS غير متاح الآن (ProxyError) لـHS080410 SAU←CHN 2023 — أعد المحاولة لاحقاً.</w:t>
      </w:r>
    </w:p>
    <w:p>
      <w:pPr>
        <w:pStyle w:val="Heading2"/>
      </w:pPr>
      <w:r>
        <w:t>سجل المخاطر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الخطر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الشدة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2880"/>
          </w:tcPr>
          <w:p>
            <w:r>
              <w:t>تركّز مصادر التوريد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HHI=0.38 &gt; 0.25 (كومتريد)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تغطية بيانات منخفضة</w:t>
            </w:r>
          </w:p>
        </w:tc>
        <w:tc>
          <w:tcPr>
            <w:tcW w:type="dxa" w:w="2880"/>
            <w:shd w:val="clear" w:fill="F2F2F2"/>
          </w:tcPr>
          <w:p>
            <w:r>
              <w:t>متوسطة</w:t>
            </w:r>
          </w:p>
        </w:tc>
        <w:tc>
          <w:tcPr>
            <w:tcW w:type="dxa" w:w="2880"/>
            <w:shd w:val="clear" w:fill="F2F2F2"/>
          </w:tcPr>
          <w:p>
            <w:r>
              <w:t>تغطية الوكلاء 39% &lt; 60% — القرار مشروط باكتمالها</w:t>
            </w:r>
          </w:p>
        </w:tc>
      </w:tr>
    </w:tbl>
    <w:p>
      <w:pPr>
        <w:pStyle w:val="Heading1"/>
      </w:pPr>
      <w:r>
        <w:t>١٣. الاتجاهات والتوقع المستقبلي</w:t>
      </w:r>
    </w:p>
    <w:p>
      <w:r>
        <w:t>بيانات الاتجاه غير كافية لهذه السنوات.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الصين: دخل الفرد غير متوفر</w:t>
      </w:r>
    </w:p>
    <w:p>
      <w:pPr>
        <w:pStyle w:val="ListBullet"/>
      </w:pPr>
      <w:r>
        <w:t>الإمارات: دخل الفرد غير متوفر</w:t>
      </w:r>
    </w:p>
    <w:p>
      <w:pPr>
        <w:pStyle w:val="Heading1"/>
      </w:pPr>
      <w:r>
        <w:t>١٤. التوصيات الاستراتيجية</w:t>
      </w:r>
    </w:p>
    <w:p>
      <w:pPr>
        <w:pStyle w:val="Heading2"/>
      </w:pPr>
      <w:r>
        <w:t>قرار الدخول (المحرك الموزون §8)</w:t>
      </w:r>
    </w:p>
    <w:p>
      <w:r>
        <w:t>الحكم: CONDITIONAL-GO | النقاط: 0.636 | الثقة: منخفضة (31%)</w:t>
      </w:r>
    </w:p>
    <w:p>
      <w:r>
        <w:t>أساس الثقة: التغطية 0.39 × الأعمدة المحسوبة 4/5</w:t>
      </w:r>
    </w:p>
    <w:p>
      <w:r>
        <w:t>خيار الأوزان المعتمد: A — النقاط بالخيارين: A = 0.636 | B = 0.584</w:t>
      </w:r>
    </w:p>
    <w:p>
      <w:r>
        <w:t>ملاحظة الأوزان: خيار الأوزان قيد بوابة GATE 3 — كلا المجموعين محسوبان؛ الافتراضي A حتى قرار المالك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الأساس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المنافسة</w:t>
            </w:r>
          </w:p>
        </w:tc>
        <w:tc>
          <w:tcPr>
            <w:tcW w:type="dxa" w:w="2160"/>
            <w:shd w:val="clear" w:fill="F2F2F2"/>
          </w:tcPr>
          <w:p>
            <w:r>
              <w:t>0.63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  <w:shd w:val="clear" w:fill="F2F2F2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الربحية</w:t>
            </w:r>
          </w:p>
        </w:tc>
        <w:tc>
          <w:tcPr>
            <w:tcW w:type="dxa" w:w="2160"/>
            <w:shd w:val="clear" w:fill="F2F2F2"/>
          </w:tcPr>
          <w:p>
            <w:r>
              <w:t>0.75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  <w:shd w:val="clear" w:fill="F2F2F2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(0.37)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pPr>
        <w:pStyle w:val="ListBullet"/>
      </w:pPr>
      <w:r>
        <w:t>سوق مركّز: ادخل عبر موزّع قائم من مرشّحي وكيل supplier بدل البناء المباشر</w:t>
      </w:r>
    </w:p>
    <w:p>
      <w:r>
        <w:t>لماذا: score 0.636 في النطاق الشرطي والثقة 0.31 دون 0.6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2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pPr>
        <w:pStyle w:val="Heading2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—</w:t>
      </w:r>
    </w:p>
    <w:p>
      <w:r>
        <w:t>موزّعون ومستوردون في السوق المستهدف:</w:t>
      </w:r>
    </w:p>
    <w:p>
      <w:pPr>
        <w:pStyle w:val="ListBullet"/>
      </w:pPr>
      <w:r>
        <w:t>—</w:t>
      </w:r>
    </w:p>
    <w:p>
      <w:r>
        <w:t>مرشّحون غير موثَّقين (ثقة 0.4) — أكّدهم قبل التعاقد؛ الترقية الموثّقة عبر /deepen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الملحق: تغطية المصادر وأثرها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القسم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المُسهم/المُحاوَل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الدرجة</w:t>
            </w:r>
          </w:p>
        </w:tc>
      </w:tr>
      <w:tr>
        <w:tc>
          <w:tcPr>
            <w:tcW w:type="dxa" w:w="2880"/>
          </w:tcPr>
          <w:p>
            <w:r>
              <w:t>حجم السوق والمنافسة</w:t>
            </w:r>
          </w:p>
        </w:tc>
        <w:tc>
          <w:tcPr>
            <w:tcW w:type="dxa" w:w="2880"/>
          </w:tcPr>
          <w:p>
            <w:r>
              <w:t>3/3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الاشتراطات والتعريفة</w:t>
            </w:r>
          </w:p>
        </w:tc>
        <w:tc>
          <w:tcPr>
            <w:tcW w:type="dxa" w:w="2880"/>
            <w:shd w:val="clear" w:fill="F2F2F2"/>
          </w:tcPr>
          <w:p>
            <w:r>
              <w:t>3/4</w:t>
            </w:r>
          </w:p>
        </w:tc>
        <w:tc>
          <w:tcPr>
            <w:tcW w:type="dxa" w:w="2880"/>
            <w:shd w:val="clear" w:fill="F2F2F2"/>
          </w:tcPr>
          <w:p>
            <w:r>
              <w:t>0.75</w:t>
            </w:r>
          </w:p>
        </w:tc>
      </w:tr>
      <w:tr>
        <w:tc>
          <w:tcPr>
            <w:tcW w:type="dxa" w:w="2880"/>
          </w:tcPr>
          <w:p>
            <w:r>
              <w:t>المنافسون بالاسم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الأسعار</w:t>
            </w:r>
          </w:p>
        </w:tc>
        <w:tc>
          <w:tcPr>
            <w:tcW w:type="dxa" w:w="2880"/>
            <w:shd w:val="clear" w:fill="F2F2F2"/>
          </w:tcPr>
          <w:p>
            <w:r>
              <w:t>2/2</w:t>
            </w:r>
          </w:p>
        </w:tc>
        <w:tc>
          <w:tcPr>
            <w:tcW w:type="dxa" w:w="2880"/>
            <w:shd w:val="clear" w:fill="F2F2F2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الطلب والقدرة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المخاطر</w:t>
            </w:r>
          </w:p>
        </w:tc>
        <w:tc>
          <w:tcPr>
            <w:tcW w:type="dxa" w:w="2880"/>
            <w:shd w:val="clear" w:fill="F2F2F2"/>
          </w:tcPr>
          <w:p>
            <w:r>
              <w:t>0/4</w:t>
            </w:r>
          </w:p>
        </w:tc>
        <w:tc>
          <w:tcPr>
            <w:tcW w:type="dxa" w:w="2880"/>
            <w:shd w:val="clear" w:fill="F2F2F2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الاتجاه</w:t>
            </w:r>
          </w:p>
        </w:tc>
        <w:tc>
          <w:tcPr>
            <w:tcW w:type="dxa" w:w="2880"/>
          </w:tcPr>
          <w:p>
            <w:r>
              <w:t>0/5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أقسام دون عتبة الكفاية</w:t>
      </w:r>
    </w:p>
    <w:p>
      <w:r>
        <w:t>بيانات غير كافية لقسم «المنافسون بالاسم» (0/2 حقائق سوقية) — المصادر المُحاوَلة: لا مصادر مُحاوَلة</w:t>
      </w:r>
    </w:p>
    <w:p>
      <w:r>
        <w:t>بيانات غير كافية لقسم «الطلب والقدرة» (0/1 حقائق سوقية) — المصادر المُحاوَلة: World Bank</w:t>
      </w:r>
    </w:p>
    <w:p>
      <w:r>
        <w:t>بيانات غير كافية لقسم «المخاطر» (0/2 حقائق سوقية) — المصادر المُحاوَلة: World Bank</w:t>
      </w:r>
    </w:p>
    <w:p>
      <w:r>
        <w:t>بيانات غير كافية لقسم «الاتجاه» (0/2 حقائق سوقية) — المصادر المُحاوَلة: UN Comtrade</w:t>
      </w:r>
    </w:p>
    <w:p>
      <w:pPr>
        <w:pStyle w:val="Heading2"/>
      </w:pPr>
      <w:r>
        <w:t>أثر المصادر (المحاولات والإسهام)</w:t>
      </w:r>
    </w:p>
    <w:p>
      <w:r>
        <w:t>UN Comtrade: أسهم 18 من 18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14 من 14 محاولة</w:t>
      </w:r>
    </w:p>
    <w:p>
      <w:r>
        <w:t>Pew Research Center (لقطة ساكنة مقرّبة): أسهم 4 من 4 محاولة</w:t>
      </w:r>
    </w:p>
    <w:p>
      <w:r>
        <w:t>World Bank: أسهم 0 من 10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PV.EST fetch failed for CHN: HTTPSConnectionPool(host='api.worldbank.org', port=443): Max retries exceeded with ur</w:t>
      </w:r>
    </w:p>
    <w:p>
      <w:pPr>
        <w:pStyle w:val="IntenseQuote"/>
      </w:pPr>
      <w:r>
        <w:t xml:space="preserve">    فشل مُسجَّل: جودة التنظيم (WGI) — RQ.EST fetch failed for CHN: HTTPSConnectionPool(host='api.worldbank.org', port=443): Max retries exceeded with url: /v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