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أُعدّت بواسطة منصة سِلك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بلد 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هولندا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2026-07-16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القرار وأساسه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Arial" w:hAnsi="Arial" w:cs="Arial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Arial" w:hAnsi="Arial" w:cs="Arial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Arial" w:hAnsi="Arial" w:cs="Arial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Arial" w:hAnsi="Arial" w:cs="Arial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Arial" w:hAnsi="Arial" w:cs="Arial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Arial" w:hAnsi="Arial" w:cs="Arial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Arial" w:hAnsi="Arial" w:cs="Arial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Arial" w:hAnsi="Arial" w:cs="Arial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Arial" w:hAnsi="Arial" w:cs="Arial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الحكم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مستوى التوثيق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السوق بالأرقام</w:t>
      </w:r>
    </w:p>
    <w:p>
      <w:pPr>
        <w:bidi/>
        <w:jc w:val="start"/>
      </w:pPr>
      <w:r>
        <w:rPr>
          <w:rFonts w:ascii="Arial" w:hAnsi="Arial" w:cs="Arial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Arial" w:hAnsi="Arial" w:cs="Arial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Arial" w:hAnsi="Arial" w:cs="Arial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إجمالي واردات السوق (UN Comtrade)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المتاحة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1.4 مليون دولار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 × 3.6%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الهدف الواقعي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0.11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× 8%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Arial" w:hAnsi="Arial" w:cs="Arial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Arial" w:hAnsi="Arial" w:cs="Arial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Arial" w:hAnsi="Arial" w:cs="Arial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Arial" w:hAnsi="Arial" w:cs="Arial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Arial" w:hAnsi="Arial" w:cs="Arial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Arial" w:hAnsi="Arial" w:cs="Arial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Arial" w:hAnsi="Arial" w:cs="Arial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سكان هولندا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17,800,000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نسبة الشريحة المسلمة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5.6%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الديموغرافيا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حجم الشريحة الناتج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1,000,000 نسمة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Arial" w:hAnsi="Arial" w:cs="Arial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Arial" w:hAnsi="Arial" w:cs="Arial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Arial" w:hAnsi="Arial" w:cs="Arial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المنتجات المنافسة وأسعارها</w:t>
      </w:r>
    </w:p>
    <w:p>
      <w:pPr>
        <w:bidi/>
        <w:jc w:val="start"/>
      </w:pPr>
      <w:r>
        <w:rPr>
          <w:rFonts w:ascii="Arial" w:hAnsi="Arial" w:cs="Arial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Arial" w:hAnsi="Arial" w:cs="Arial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Arial" w:hAnsi="Arial" w:cs="Arial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السعر/كجم بالدولار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اقتصادي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5.50€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6.0$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متوسط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9.20€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10.0$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· 2026-07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500غ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7.00€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15.3$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مزيج شحنات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4.2$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(متوسط)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Arial" w:hAnsi="Arial" w:cs="Arial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Arial" w:hAnsi="Arial" w:cs="Arial"/>
          <w:rtl/>
        </w:rPr>
        <w:t>لاحقاً.</w:t>
      </w:r>
    </w:p>
    <w:p>
      <w:pPr>
        <w:bidi/>
        <w:jc w:val="start"/>
      </w:pPr>
      <w:r>
        <w:rPr>
          <w:rFonts w:ascii="Arial" w:hAnsi="Arial" w:cs="Arial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Arial" w:hAnsi="Arial" w:cs="Arial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31%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19%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Arial" w:hAnsi="Arial" w:cs="Arial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Arial" w:hAnsi="Arial" w:cs="Arial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Arial" w:hAnsi="Arial" w:cs="Arial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Arial" w:hAnsi="Arial" w:cs="Arial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Arial" w:hAnsi="Arial" w:cs="Arial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Arial" w:hAnsi="Arial" w:cs="Arial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مسار الدخول والمتطلبات</w:t>
      </w:r>
    </w:p>
    <w:p>
      <w:pPr>
        <w:bidi/>
        <w:jc w:val="start"/>
      </w:pPr>
      <w:r>
        <w:rPr>
          <w:rFonts w:ascii="Arial" w:hAnsi="Arial" w:cs="Arial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Arial" w:hAnsi="Arial" w:cs="Arial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Arial" w:hAnsi="Arial" w:cs="Arial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حدود الملوّثات والمبيدات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2023/915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سلامة غذائية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BRC / IFS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GSO 993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Arial" w:hAnsi="Arial" w:cs="Arial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Arial" w:hAnsi="Arial" w:cs="Arial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Arial" w:hAnsi="Arial" w:cs="Arial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Arial" w:hAnsi="Arial" w:cs="Arial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Arial" w:hAnsi="Arial" w:cs="Arial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Arial" w:hAnsi="Arial" w:cs="Arial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Arial" w:hAnsi="Arial" w:cs="Arial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Arial" w:hAnsi="Arial" w:cs="Arial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Arial" w:hAnsi="Arial" w:cs="Arial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Arial" w:hAnsi="Arial" w:cs="Arial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Arial" w:hAnsi="Arial" w:cs="Arial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Arial" w:hAnsi="Arial" w:cs="Arial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Arial" w:hAnsi="Arial" w:cs="Arial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Arial" w:hAnsi="Arial" w:cs="Arial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Arial" w:hAnsi="Arial" w:cs="Arial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نصائح عملية للمصدّر</w:t>
      </w:r>
    </w:p>
    <w:p>
      <w:pPr>
        <w:bidi/>
        <w:jc w:val="start"/>
      </w:pPr>
      <w:r>
        <w:rPr>
          <w:rFonts w:ascii="Arial" w:hAnsi="Arial" w:cs="Arial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Arial" w:hAnsi="Arial" w:cs="Arial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Arial" w:hAnsi="Arial" w:cs="Arial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Arial" w:hAnsi="Arial" w:cs="Arial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Arial" w:hAnsi="Arial" w:cs="Arial"/>
          <w:rtl/>
        </w:rPr>
        <w:t>ذروة الطلب.</w:t>
      </w:r>
    </w:p>
    <w:p>
      <w:pPr>
        <w:bidi/>
        <w:jc w:val="start"/>
      </w:pPr>
      <w:r>
        <w:rPr>
          <w:rFonts w:ascii="Arial" w:hAnsi="Arial" w:cs="Arial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Arial" w:hAnsi="Arial" w:cs="Arial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المخاطر</w:t>
      </w:r>
    </w:p>
    <w:p>
      <w:pPr>
        <w:bidi/>
        <w:jc w:val="start"/>
      </w:pPr>
      <w:r>
        <w:rPr>
          <w:rFonts w:ascii="Arial" w:hAnsi="Arial" w:cs="Arial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Arial" w:hAnsi="Arial" w:cs="Arial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Arial" w:hAnsi="Arial" w:cs="Arial"/>
          <w:rtl/>
        </w:rPr>
        <w:t>أخبار مخاطر قطاعية جوهرية خلال 12 شهراً (GDELT). وبذلك لا تبرز مخاطرة</w:t>
      </w:r>
    </w:p>
    <w:p>
      <w:pPr>
        <w:bidi/>
        <w:jc w:val="start"/>
      </w:pPr>
      <w:r>
        <w:rPr>
          <w:rFonts w:ascii="Arial" w:hAnsi="Arial" w:cs="Arial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Arial" w:hAnsi="Arial" w:cs="Arial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مؤشّر ثقة الدراسة</w:t>
      </w:r>
    </w:p>
    <w:p>
      <w:pPr>
        <w:bidi/>
        <w:jc w:val="start"/>
      </w:pPr>
      <w:r>
        <w:rPr>
          <w:rFonts w:ascii="Arial" w:hAnsi="Arial" w:cs="Arial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 (مصدر رسمي)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 (مصدر واحد غير رسمي)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12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Arial" w:hAnsi="Arial" w:cs="Arial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مصادر رسمية عامة (Albert Heijn، EU 2017/625، Eurostat، GDELT، Google Trends، Jumbo)،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17.8 مليون — عدد سكان هولندا، نسمة، 2023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تونسي (1كغ) 5.50€/كغم ≈ 6.0$/كغم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(رصد ويب)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مغربي (1كغ) 9.20€/كغم ≈ 10.0$/كغم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(رصد ويب)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 (500غ) 14.0€/كغم ≈ 15.3$/كغم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(رصد ويب)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تونس: حصة 31.0%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 تركّز المورّدين HHI=2100.0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Eurostat (مسح ميزانية الأسرة)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GDELT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روتردام أكبر بوابة استيراد أوروبية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خمس سنوات صاعد + ذروة رمضان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أمستردام — مرشّح محتمل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All4Trade (مرشّح ويب)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مرشّح ويب غير موثَّق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التمور السعودية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