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سِلك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سِلك — تقرير بحث سوق: تمور</w:t>
      </w:r>
    </w:p>
    <w:p>
      <w:pPr>
        <w:bidi/>
        <w:jc w:val="start"/>
      </w:pPr>
      <w:r>
        <w:rPr>
          <w:rFonts w:ascii="Arial" w:hAnsi="Arial" w:cs="Arial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China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2026-07-16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سنة البيانات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2023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تغطية البيانات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المحتويات</w:t>
      </w:r>
    </w:p>
    <w:p>
      <w:pPr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2. منهجية البحث</w:t>
      </w:r>
    </w:p>
    <w:p>
      <w:pPr>
        <w:bidi/>
        <w:jc w:val="start"/>
      </w:pPr>
      <w:r>
        <w:rPr>
          <w:rFonts w:ascii="Arial" w:hAnsi="Arial" w:cs="Arial"/>
          <w:rtl/>
        </w:rPr>
        <w:t>3. تعريف السوق ونطاقه</w:t>
      </w:r>
    </w:p>
    <w:p>
      <w:pPr>
        <w:bidi/>
        <w:jc w:val="start"/>
      </w:pPr>
      <w:r>
        <w:rPr>
          <w:rFonts w:ascii="Arial" w:hAnsi="Arial" w:cs="Arial"/>
          <w:rtl/>
        </w:rPr>
        <w:t>4. نظرة عامة على السوق</w:t>
      </w:r>
    </w:p>
    <w:p>
      <w:pPr>
        <w:bidi/>
        <w:jc w:val="start"/>
      </w:pPr>
      <w:r>
        <w:rPr>
          <w:rFonts w:ascii="Arial" w:hAnsi="Arial" w:cs="Arial"/>
          <w:rtl/>
        </w:rPr>
        <w:t>5.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6. حجم السوق والتوقعات</w:t>
      </w:r>
    </w:p>
    <w:p>
      <w:pPr>
        <w:bidi/>
        <w:jc w:val="start"/>
      </w:pPr>
      <w:r>
        <w:rPr>
          <w:rFonts w:ascii="Arial" w:hAnsi="Arial" w:cs="Arial"/>
          <w:rtl/>
        </w:rPr>
        <w:t>7. تحليل التقسيم</w:t>
      </w:r>
    </w:p>
    <w:p>
      <w:pPr>
        <w:bidi/>
        <w:jc w:val="start"/>
      </w:pPr>
      <w:r>
        <w:rPr>
          <w:rFonts w:ascii="Arial" w:hAnsi="Arial" w:cs="Arial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Arial" w:hAnsi="Arial" w:cs="Arial"/>
          <w:rtl/>
        </w:rPr>
        <w:t>9. الأسواق المرشّحة الأخرى</w:t>
      </w:r>
    </w:p>
    <w:p>
      <w:pPr>
        <w:bidi/>
        <w:jc w:val="start"/>
      </w:pPr>
      <w:r>
        <w:rPr>
          <w:rFonts w:ascii="Arial" w:hAnsi="Arial" w:cs="Arial"/>
          <w:rtl/>
        </w:rPr>
        <w:t>10. المشهد التنافسي</w:t>
      </w:r>
    </w:p>
    <w:p>
      <w:pPr>
        <w:bidi/>
        <w:jc w:val="start"/>
      </w:pPr>
      <w:r>
        <w:rPr>
          <w:rFonts w:ascii="Arial" w:hAnsi="Arial" w:cs="Arial"/>
          <w:rtl/>
        </w:rPr>
        <w:t>11. استخبارات العميل والطلب</w:t>
      </w:r>
    </w:p>
    <w:p>
      <w:pPr>
        <w:bidi/>
        <w:jc w:val="start"/>
      </w:pPr>
      <w:r>
        <w:rPr>
          <w:rFonts w:ascii="Arial" w:hAnsi="Arial" w:cs="Arial"/>
          <w:rtl/>
        </w:rPr>
        <w:t>12. المشهد التنظيمي والمخاطر</w:t>
      </w:r>
    </w:p>
    <w:p>
      <w:pPr>
        <w:bidi/>
        <w:jc w:val="start"/>
      </w:pPr>
      <w:r>
        <w:rPr>
          <w:rFonts w:ascii="Arial" w:hAnsi="Arial" w:cs="Arial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Arial" w:hAnsi="Arial" w:cs="Arial"/>
          <w:rtl/>
        </w:rPr>
        <w:t>14. التوصيات الاستراتيجية</w:t>
      </w:r>
    </w:p>
    <w:p>
      <w:pPr>
        <w:bidi/>
        <w:jc w:val="start"/>
      </w:pPr>
      <w:r>
        <w:rPr>
          <w:rFonts w:ascii="Arial" w:hAnsi="Arial" w:cs="Arial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Arial" w:hAnsi="Arial" w:cs="Arial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Arial" w:hAnsi="Arial" w:cs="Arial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Arial" w:hAnsi="Arial" w:cs="Arial"/>
          <w:rtl/>
        </w:rP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pPr>
        <w:bidi/>
        <w:jc w:val="start"/>
      </w:pPr>
      <w:r>
        <w:rPr>
          <w:rFonts w:ascii="Arial" w:hAnsi="Arial" w:cs="Arial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٣. تعريف السوق ونطاقه</w:t>
      </w:r>
    </w:p>
    <w:p>
      <w:pPr>
        <w:bidi/>
        <w:jc w:val="start"/>
      </w:pPr>
      <w:r>
        <w:rPr>
          <w:rFonts w:ascii="Arial" w:hAnsi="Arial" w:cs="Arial"/>
          <w:rtl/>
        </w:rP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قرار الدخول</w:t>
      </w:r>
    </w:p>
    <w:p>
      <w:pPr>
        <w:bidi/>
        <w:jc w:val="start"/>
      </w:pPr>
      <w:r>
        <w:rPr>
          <w:rFonts w:ascii="Arial" w:hAnsi="Arial" w:cs="Arial"/>
          <w:rtl/>
        </w:rPr>
        <w:t>الحكم: دخول مشروط | النقاط: 0.636 | الثقة: منخفضة (31%)</w:t>
      </w:r>
    </w:p>
    <w:p>
      <w:pPr>
        <w:bidi/>
        <w:jc w:val="start"/>
      </w:pPr>
      <w:r>
        <w:rPr>
          <w:rFonts w:ascii="Arial" w:hAnsi="Arial" w:cs="Arial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Arial" w:hAnsi="Arial" w:cs="Arial"/>
          <w:rtl/>
        </w:rPr>
        <w:t>منهجية الترجيح المعتمدة: الأوزان القياسية — النقاط 0.636 (بديل مقارنة، الأوزان التنظيمية المُثقّلة: 0.584)</w:t>
      </w:r>
    </w:p>
    <w:p>
      <w:pPr>
        <w:bidi/>
        <w:jc w:val="start"/>
      </w:pPr>
      <w:r>
        <w:rPr>
          <w:rFonts w:ascii="Arial" w:hAnsi="Arial" w:cs="Arial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جاذبية السوق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0.892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income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المنافسة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0.63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named_density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التنظيم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0.375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(1 − تعريفة/30%)، وضوح القائمة (بنود/8)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tariff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الربحية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0.75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الهامش/40%، الموقع السعري (1.5 − سعرك/متوسط السوق)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margin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أمان السوق (المخاطر)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Arial" w:hAnsi="Arial" w:cs="Arial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عمود الملاءمة التنظيمية ضعيف (38%) — متوسط المتاح من: (1 − تعريفة/30%)، وضوح القائمة (بنود/8)</w:t>
      </w:r>
    </w:p>
    <w:p>
      <w:pPr>
        <w:bidi/>
        <w:jc w:val="start"/>
      </w:pPr>
      <w:r>
        <w:rPr>
          <w:rFonts w:ascii="Arial" w:hAnsi="Arial" w:cs="Arial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Arial" w:hAnsi="Arial" w:cs="Arial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Arial" w:hAnsi="Arial" w:cs="Arial"/>
          <w:rtl/>
        </w:rPr>
        <w:t>لماذا: الدرجة الموزونة 0.636 في النطاق الشرطي والثقة منخفضة (31%) دون الحد الأدنى (60%) وشروط مفتوحة (3)</w:t>
      </w:r>
    </w:p>
    <w:p>
      <w:pPr>
        <w:bidi/>
        <w:jc w:val="start"/>
      </w:pPr>
      <w:r>
        <w:rPr>
          <w:rFonts w:ascii="Arial" w:hAnsi="Arial" w:cs="Arial"/>
          <w:rtl/>
        </w:rPr>
        <w:t>قرار حتمي قابل للتفسير من حزمة §4b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٤. نظرة عامة على السوق</w:t>
      </w:r>
    </w:p>
    <w:p>
      <w:pPr>
        <w:bidi/>
        <w:jc w:val="start"/>
      </w:pPr>
      <w:r>
        <w:rPr>
          <w:rFonts w:ascii="Arial" w:hAnsi="Arial" w:cs="Arial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٥.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إجمالي واردات السوق (TAM)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60,000,000 USD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2026-07-16 | ثقة: عالية (90%)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نمو الواردات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50.0 %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2026-07-16 | ثقة: عالية (90%)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معدل النمو السنوي المركّب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22.5 %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2026-07-16 | ثقة: عالية (90%)</w:t>
            </w:r>
          </w:p>
        </w:tc>
      </w:tr>
    </w:tbl>
    <w:p>
      <w:pPr>
        <w:pStyle w:val="ListBullet"/>
        <w:bidi/>
        <w:jc w:val="start"/>
      </w:pPr>
      <w:r>
        <w:rPr>
          <w:rFonts w:ascii="Arial" w:hAnsi="Arial" w:cs="Arial"/>
          <w:rtl/>
        </w:rPr>
        <w:t>غير متوفر: السوق القابل للخدمة (SAM): يتطلب TAM مرصوداً + شريحة tier في بطاقة المنتج (premium/mid/mass)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Iran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50%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30.0 مليون دولار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Saudi Arabia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30%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18.0 مليون دولار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Tunisia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20%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٩.1 China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يستورد السوق ما قيمته 60.0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المنتجات السعودية حاضرة فعلاً بحصة 30% من واردات السوق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الثقة الإجمالية لهذا التقييم: عالية (75%)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يستورد السوق ما قيمته 20.0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المنتجات السعودية حاضرة فعلاً بحصة 100% من واردات السوق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الثقة الإجمالية لهذا التقييم: عالية (75%)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Arial" w:hAnsi="Arial" w:cs="Arial"/>
          <w:rtl/>
        </w:rPr>
        <w:t>لا شركات مرصودة بالاسم في هذا التشغيل (أسماء الأعمال تأتي من Google Places حصراً)</w:t>
      </w:r>
    </w:p>
    <w:p>
      <w:pPr>
        <w:bidi/>
        <w:jc w:val="start"/>
      </w:pPr>
      <w:r>
        <w:rPr>
          <w:rFonts w:ascii="Arial" w:hAnsi="Arial" w:cs="Arial"/>
          <w:rtl/>
        </w:rPr>
        <w:t>الطبقة الدولية (تركّز الموردين — UN Comtrade):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تركّز الموردين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0.38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2026-07-16 | ثقة: عالية (90%)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المورّد الأكبر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50.0 %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2026-07-16 | ثقة: عالية (90%)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الحصة السعودية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30.0 %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2026-07-16 | ثقة: عالية (90%)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التسعير بطبقتيه</w:t>
      </w:r>
    </w:p>
    <w:p>
      <w:pPr>
        <w:bidi/>
        <w:jc w:val="start"/>
      </w:pPr>
      <w:r>
        <w:rPr>
          <w:rFonts w:ascii="Arial" w:hAnsi="Arial" w:cs="Arial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سعر الوحدة عند الحدود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3.0 USD/kg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مُقدَّر — نموذج بافتراضات معلنة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2026-07-16 | ثقة: عالية (90%)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سعر الوحدة السعودي عند الحدود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2.25 USD/kg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2026-07-16 | ثقة: عالية (85%)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الهامش عند الحدود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Arial" w:hAnsi="Arial" w:cs="Arial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pPr>
        <w:bidi/>
        <w:jc w:val="start"/>
      </w:pPr>
      <w:r>
        <w:rPr>
          <w:rFonts w:ascii="Arial" w:hAnsi="Arial" w:cs="Arial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موقعك التنافسي</w:t>
      </w:r>
    </w:p>
    <w:p>
      <w:pPr>
        <w:bidi/>
        <w:jc w:val="start"/>
      </w:pPr>
      <w:r>
        <w:rPr>
          <w:rFonts w:ascii="Arial" w:hAnsi="Arial" w:cs="Arial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١١. استخبارات العميل والطلب</w:t>
      </w:r>
    </w:p>
    <w:p>
      <w:pPr>
        <w:bidi/>
        <w:jc w:val="start"/>
      </w:pPr>
      <w:r>
        <w:rPr>
          <w:rFonts w:ascii="Arial" w:hAnsi="Arial" w:cs="Arial"/>
          <w:rtl/>
        </w:rPr>
        <w:t>—</w:t>
      </w:r>
    </w:p>
    <w:p>
      <w:pPr>
        <w:bidi/>
        <w:jc w:val="start"/>
      </w:pPr>
      <w:r>
        <w:rPr>
          <w:rFonts w:ascii="Arial" w:hAnsi="Arial" w:cs="Arial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وزارة التجارة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https://mc.gov.sa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https://www.sfda.gov.sa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هيئة تنمية الصادرات السعودية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المصدر: Silk L1 requirements reference (official portals / EUR-Lex) | سُحب: 2026-07-16 | ثقة: عالية (80%)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تركّز مصادر التوريد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تغطية بيانات منخفضة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Arial" w:hAnsi="Arial" w:cs="Arial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استراتيجية دخول السوق</w:t>
      </w:r>
    </w:p>
    <w:p>
      <w:pPr>
        <w:bidi/>
        <w:jc w:val="start"/>
      </w:pPr>
      <w:r>
        <w:rPr>
          <w:rFonts w:ascii="Arial" w:hAnsi="Arial" w:cs="Arial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Arial" w:hAnsi="Arial" w:cs="Arial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أكبر حصة مورّد واحد 50.0%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 — سوق الصين (ثقة منخفضة (31%))</w:t>
      </w:r>
    </w:p>
    <w:p>
      <w:pPr>
        <w:bidi/>
        <w:jc w:val="start"/>
      </w:pPr>
      <w:r>
        <w:rPr>
          <w:rFonts w:ascii="Arial" w:hAnsi="Arial" w:cs="Arial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دليل المورّدين والمصنّعين</w:t>
      </w:r>
    </w:p>
    <w:p>
      <w:pPr>
        <w:bidi/>
        <w:jc w:val="start"/>
      </w:pPr>
      <w:r>
        <w:rPr>
          <w:rFonts w:ascii="Arial" w:hAnsi="Arial" w:cs="Arial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—</w:t>
      </w:r>
    </w:p>
    <w:p>
      <w:pPr>
        <w:bidi/>
        <w:jc w:val="start"/>
      </w:pPr>
      <w:r>
        <w:rPr>
          <w:rFonts w:ascii="Arial" w:hAnsi="Arial" w:cs="Arial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—</w:t>
      </w:r>
    </w:p>
    <w:p>
      <w:pPr>
        <w:bidi/>
        <w:jc w:val="start"/>
      </w:pPr>
      <w:r>
        <w:rPr>
          <w:rFonts w:ascii="Arial" w:hAnsi="Arial" w:cs="Arial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حجم السوق والمنافسة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3/3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الاشتراطات والتعريفة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3/4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0.75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المنافسون بالاسم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0/0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الأسعار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2/2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1.0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الطلب والقدرة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0/1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المخاطر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0/4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الاتجاه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أقسام دون عتبة الكفاية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«المنافسون بالاسم» (0/2 حقائق سوقية) — المصادر المُحاوَلة: لا مصادر مُحاوَلة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«الطلب والقدرة» (0/1 حقائق سوقية) — المصادر المُحاوَلة: World Bank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«المخاطر» (0/2 حقائق سوقية) — المصادر المُحاوَلة: World Bank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«الاتجاه» (0/2 حقائق سوقية) — المصادر المُحاوَلة: UN Comtrade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Arial" w:hAnsi="Arial" w:cs="Arial"/>
          <w:rtl/>
        </w:rPr>
        <w:t>UN Comtrade: أسهم 18 من 18 محاولة</w:t>
      </w:r>
    </w:p>
    <w:p>
      <w:pPr>
        <w:bidi/>
        <w:jc w:val="start"/>
      </w:pPr>
      <w:r>
        <w:rPr>
          <w:rFonts w:ascii="Arial" w:hAnsi="Arial" w:cs="Arial"/>
          <w:rtl/>
        </w:rPr>
        <w:t>Silk L1 requirements reference (official portals / EUR-Lex): أسهم 16 من 17 محاولة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سوق CHN (موثّق جزئياً) غير مغطى بالمرجع الثابت بعد — تحقق محلياً (verify locally)</w:t>
      </w:r>
    </w:p>
    <w:p>
      <w:pPr>
        <w:bidi/>
        <w:jc w:val="start"/>
      </w:pPr>
      <w:r>
        <w:rPr>
          <w:rFonts w:ascii="Arial" w:hAnsi="Arial" w:cs="Arial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Arial" w:hAnsi="Arial" w:cs="Arial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Arial" w:hAnsi="Arial" w:cs="Arial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سِلك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