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right"/>
      </w:pPr>
      <w:r>
        <w:rPr>
          <w:rFonts w:ascii="Arial" w:hAnsi="Arial" w:cs="Arial"/>
          <w:rtl/>
        </w:rPr>
        <w:t>سِلك — تقرير بحث سوق: تمور</w:t>
      </w:r>
    </w:p>
    <w:p>
      <w:pPr>
        <w:bidi/>
        <w:jc w:val="righ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China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2026-07-16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سنة البيانات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2023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تغطية البيانات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42.1%</w:t>
            </w:r>
          </w:p>
        </w:tc>
      </w:tr>
    </w:tbl>
    <w:p>
      <w:pPr>
        <w:pStyle w:val="Heading1"/>
        <w:bidi/>
        <w:jc w:val="right"/>
      </w:pPr>
      <w:r>
        <w:rPr>
          <w:rFonts w:ascii="Arial" w:hAnsi="Arial" w:cs="Arial"/>
          <w:rtl/>
        </w:rPr>
        <w:t>المحتويات</w:t>
      </w:r>
    </w:p>
    <w:p>
      <w:pPr>
        <w:bidi/>
        <w:jc w:val="righ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right"/>
      </w:pPr>
      <w:r>
        <w:rPr>
          <w:rFonts w:ascii="Arial" w:hAnsi="Arial" w:cs="Arial"/>
          <w:rtl/>
        </w:rPr>
        <w:t>2. منهجية البحث</w:t>
      </w:r>
    </w:p>
    <w:p>
      <w:pPr>
        <w:bidi/>
        <w:jc w:val="right"/>
      </w:pPr>
      <w:r>
        <w:rPr>
          <w:rFonts w:ascii="Arial" w:hAnsi="Arial" w:cs="Arial"/>
          <w:rtl/>
        </w:rPr>
        <w:t>3. تعريف السوق ونطاقه</w:t>
      </w:r>
    </w:p>
    <w:p>
      <w:pPr>
        <w:bidi/>
        <w:jc w:val="right"/>
      </w:pPr>
      <w:r>
        <w:rPr>
          <w:rFonts w:ascii="Arial" w:hAnsi="Arial" w:cs="Arial"/>
          <w:rtl/>
        </w:rPr>
        <w:t>4. نظرة عامة على السوق</w:t>
      </w:r>
    </w:p>
    <w:p>
      <w:pPr>
        <w:bidi/>
        <w:jc w:val="right"/>
      </w:pPr>
      <w:r>
        <w:rPr>
          <w:rFonts w:ascii="Arial" w:hAnsi="Arial" w:cs="Arial"/>
          <w:rtl/>
        </w:rPr>
        <w:t>5. ديناميكيات السوق</w:t>
      </w:r>
    </w:p>
    <w:p>
      <w:pPr>
        <w:bidi/>
        <w:jc w:val="right"/>
      </w:pPr>
      <w:r>
        <w:rPr>
          <w:rFonts w:ascii="Arial" w:hAnsi="Arial" w:cs="Arial"/>
          <w:rtl/>
        </w:rPr>
        <w:t>6. حجم السوق والتوقعات</w:t>
      </w:r>
    </w:p>
    <w:p>
      <w:pPr>
        <w:bidi/>
        <w:jc w:val="right"/>
      </w:pPr>
      <w:r>
        <w:rPr>
          <w:rFonts w:ascii="Arial" w:hAnsi="Arial" w:cs="Arial"/>
          <w:rtl/>
        </w:rPr>
        <w:t>7. تحليل التقسيم</w:t>
      </w:r>
    </w:p>
    <w:p>
      <w:pPr>
        <w:bidi/>
        <w:jc w:val="right"/>
      </w:pPr>
      <w:r>
        <w:rPr>
          <w:rFonts w:ascii="Arial" w:hAnsi="Arial" w:cs="Arial"/>
          <w:rtl/>
        </w:rPr>
        <w:t>8. تحليل التجارة (استيراد/تصدير)</w:t>
      </w:r>
    </w:p>
    <w:p>
      <w:pPr>
        <w:bidi/>
        <w:jc w:val="right"/>
      </w:pPr>
      <w:r>
        <w:rPr>
          <w:rFonts w:ascii="Arial" w:hAnsi="Arial" w:cs="Arial"/>
          <w:rtl/>
        </w:rPr>
        <w:t>9. الأسواق المرشّحة الأخرى</w:t>
      </w:r>
    </w:p>
    <w:p>
      <w:pPr>
        <w:bidi/>
        <w:jc w:val="right"/>
      </w:pPr>
      <w:r>
        <w:rPr>
          <w:rFonts w:ascii="Arial" w:hAnsi="Arial" w:cs="Arial"/>
          <w:rtl/>
        </w:rPr>
        <w:t>10. المشهد التنافسي</w:t>
      </w:r>
    </w:p>
    <w:p>
      <w:pPr>
        <w:bidi/>
        <w:jc w:val="right"/>
      </w:pPr>
      <w:r>
        <w:rPr>
          <w:rFonts w:ascii="Arial" w:hAnsi="Arial" w:cs="Arial"/>
          <w:rtl/>
        </w:rPr>
        <w:t>11. استخبارات العميل والطلب</w:t>
      </w:r>
    </w:p>
    <w:p>
      <w:pPr>
        <w:bidi/>
        <w:jc w:val="right"/>
      </w:pPr>
      <w:r>
        <w:rPr>
          <w:rFonts w:ascii="Arial" w:hAnsi="Arial" w:cs="Arial"/>
          <w:rtl/>
        </w:rPr>
        <w:t>12. المشهد التنظيمي والمخاطر</w:t>
      </w:r>
    </w:p>
    <w:p>
      <w:pPr>
        <w:bidi/>
        <w:jc w:val="right"/>
      </w:pPr>
      <w:r>
        <w:rPr>
          <w:rFonts w:ascii="Arial" w:hAnsi="Arial" w:cs="Arial"/>
          <w:rtl/>
        </w:rPr>
        <w:t>13. الاتجاهات والتوقع المستقبلي</w:t>
      </w:r>
    </w:p>
    <w:p>
      <w:pPr>
        <w:bidi/>
        <w:jc w:val="right"/>
      </w:pPr>
      <w:r>
        <w:rPr>
          <w:rFonts w:ascii="Arial" w:hAnsi="Arial" w:cs="Arial"/>
          <w:rtl/>
        </w:rPr>
        <w:t>14. التوصيات الاستراتيجية</w:t>
      </w:r>
    </w:p>
    <w:p>
      <w:pPr>
        <w:bidi/>
        <w:jc w:val="right"/>
      </w:pPr>
      <w:r>
        <w:rPr>
          <w:rFonts w:ascii="Arial" w:hAnsi="Arial" w:cs="Arial"/>
          <w:rtl/>
        </w:rPr>
        <w:t>حدود التحليل (الفجوات المعلنة)</w:t>
      </w:r>
    </w:p>
    <w:p>
      <w:pPr>
        <w:bidi/>
        <w:jc w:val="right"/>
      </w:pPr>
      <w:r>
        <w:rPr>
          <w:rFonts w:ascii="Arial" w:hAnsi="Arial" w:cs="Arial"/>
          <w:rtl/>
        </w:rPr>
        <w:t>دليل المورّدين (الاتصال بالموردين والمستوردين)</w:t>
      </w:r>
    </w:p>
    <w:p>
      <w:pPr>
        <w:bidi/>
        <w:jc w:val="right"/>
      </w:pPr>
      <w:r>
        <w:rPr>
          <w:rFonts w:ascii="Arial" w:hAnsi="Arial" w:cs="Arial"/>
          <w:rtl/>
        </w:rPr>
        <w:t>الملحق (تغطية المصادر وأثرها)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right"/>
      </w:pPr>
      <w:r>
        <w:rPr>
          <w:rFonts w:ascii="Arial" w:hAnsi="Arial" w:cs="Arial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right"/>
      </w:pPr>
      <w:r>
        <w:rPr>
          <w:rFonts w:ascii="Arial" w:hAnsi="Arial" w:cs="Arial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right"/>
      </w:pPr>
      <w:r>
        <w:rPr>
          <w:rFonts w:ascii="Arial" w:hAnsi="Arial" w:cs="Arial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٢. منهجية البحث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سنة البيانات المعتمدة: 2023.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تغطية البيانات الإجمالية لهذا التحليل: 42.1%.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٣. تعريف السوق ونطاقه</w:t>
      </w:r>
    </w:p>
    <w:p>
      <w:pPr>
        <w:bidi/>
        <w:jc w:val="right"/>
      </w:pPr>
      <w:r>
        <w:rPr>
          <w:rFonts w:ascii="Arial" w:hAnsi="Arial" w:cs="Arial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قرار الدخول</w:t>
      </w:r>
    </w:p>
    <w:p>
      <w:pPr>
        <w:bidi/>
        <w:jc w:val="right"/>
      </w:pPr>
      <w:r>
        <w:rPr>
          <w:rFonts w:ascii="Arial" w:hAnsi="Arial" w:cs="Arial"/>
          <w:rtl/>
        </w:rPr>
        <w:t>الحكم: دخول مشروط | النقاط: 0.636 | الثقة: منخفضة (31%)</w:t>
      </w:r>
    </w:p>
    <w:p>
      <w:pPr>
        <w:bidi/>
        <w:jc w:val="right"/>
      </w:pPr>
      <w:r>
        <w:rPr>
          <w:rFonts w:ascii="Arial" w:hAnsi="Arial" w:cs="Arial"/>
          <w:rtl/>
        </w:rPr>
        <w:t>أساس الثقة: التغطية 39% × الأعمدة المحسوبة 4/5</w:t>
      </w:r>
    </w:p>
    <w:p>
      <w:pPr>
        <w:bidi/>
        <w:jc w:val="right"/>
      </w:pPr>
      <w:r>
        <w:rPr>
          <w:rFonts w:ascii="Arial" w:hAnsi="Arial" w:cs="Arial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right"/>
      </w:pPr>
      <w:r>
        <w:rPr>
          <w:rFonts w:ascii="Arial" w:hAnsi="Arial" w:cs="Arial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جاذبية السوق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0.892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income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المنافسة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0.63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named_density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التنظيم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0.375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tariff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الربحية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0.75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margin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أمان السوق (المخاطر)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rtl/>
        </w:rPr>
        <w:t>أعمدة غائبة كلياً: أمان السوق (المخاطر)</w:t>
      </w:r>
    </w:p>
    <w:p>
      <w:pPr>
        <w:bidi/>
        <w:jc w:val="right"/>
      </w:pPr>
      <w:r>
        <w:rPr>
          <w:rFonts w:ascii="Arial" w:hAnsi="Arial" w:cs="Arial"/>
          <w:rtl/>
        </w:rPr>
        <w:t>الشروط: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right"/>
      </w:pPr>
      <w:r>
        <w:rPr>
          <w:rFonts w:ascii="Arial" w:hAnsi="Arial" w:cs="Arial"/>
          <w:rtl/>
        </w:rPr>
        <w:t>سجل المخاطر: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right"/>
      </w:pPr>
      <w:r>
        <w:rPr>
          <w:rFonts w:ascii="Arial" w:hAnsi="Arial" w:cs="Arial"/>
          <w:rtl/>
        </w:rPr>
        <w:t>الخطوات الأولى: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right"/>
      </w:pPr>
      <w:r>
        <w:rPr>
          <w:rFonts w:ascii="Arial" w:hAnsi="Arial" w:cs="Arial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right"/>
      </w:pPr>
      <w:r>
        <w:rPr>
          <w:rFonts w:ascii="Arial" w:hAnsi="Arial" w:cs="Arial"/>
          <w:rtl/>
        </w:rPr>
        <w:t>قرار حتمي قابل للتفسير من حزمة §4b المتحقَّق منها — الأعمدة الغائبة شروط معلنة، لا تخمين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٤. نظرة عامة على السوق</w:t>
      </w:r>
    </w:p>
    <w:p>
      <w:pPr>
        <w:bidi/>
        <w:jc w:val="right"/>
      </w:pPr>
      <w:r>
        <w:rPr>
          <w:rFonts w:ascii="Arial" w:hAnsi="Arial" w:cs="Arial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٥. ديناميكيات السوق</w:t>
      </w:r>
    </w:p>
    <w:p>
      <w:pPr>
        <w:bidi/>
        <w:jc w:val="right"/>
      </w:pPr>
      <w:r>
        <w:rPr>
          <w:rFonts w:ascii="Arial" w:hAnsi="Arial" w:cs="Arial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٦. حجم السوق والتوقعات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إجمالي واردات السوق (TAM)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60,000,000 USD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نمو الواردات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معدل النمو السنوي المركّب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22.5 %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</w:tbl>
    <w:p>
      <w:pPr>
        <w:pStyle w:val="ListBullet"/>
        <w:bidi/>
        <w:jc w:val="right"/>
      </w:pPr>
      <w:r>
        <w:rPr>
          <w:rFonts w:ascii="Arial" w:hAnsi="Arial" w:cs="Arial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٧. تحليل التقسيم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شرائح العملاء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Iran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50%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30.0 مليون دولار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Saudi Arabia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30%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18.0 مليون دولار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Tunisia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20%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right"/>
      </w:pPr>
      <w:r>
        <w:rPr>
          <w:rFonts w:ascii="Arial" w:hAnsi="Arial" w:cs="Arial"/>
          <w:rtl/>
        </w:rPr>
        <w:t>المصدر: UN Comtrade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٩. الأسواق المرشّحة الأخرى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٩.1 China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٩.2 United Arab Emirates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١٠. المشهد التنافسي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شركات بالاسم (مرشّحون غير موثَّقين)</w:t>
      </w:r>
    </w:p>
    <w:p>
      <w:pPr>
        <w:bidi/>
        <w:jc w:val="right"/>
      </w:pPr>
      <w:r>
        <w:rPr>
          <w:rFonts w:ascii="Arial" w:hAnsi="Arial" w:cs="Arial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right"/>
      </w:pPr>
      <w:r>
        <w:rPr>
          <w:rFonts w:ascii="Arial" w:hAnsi="Arial" w:cs="Arial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تركّز الموردين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0.38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حصة المورّد الأكبر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الحصة السعودية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30.0 %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 w:cs="Arial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rtl/>
              </w:rPr>
              <w:t>القوة</w:t>
            </w:r>
          </w:p>
          <w:p>
            <w:pPr>
              <w:pStyle w:val="ListBullet"/>
              <w:bidi/>
              <w:jc w:val="right"/>
            </w:pPr>
            <w:r>
              <w:rPr>
                <w:rFonts w:ascii="Arial" w:hAnsi="Arial" w:cs="Arial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right"/>
            </w:pPr>
            <w:r>
              <w:rPr>
                <w:rFonts w:ascii="Arial" w:hAnsi="Arial" w:cs="Arial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rtl/>
              </w:rPr>
              <w:t>الضعف</w:t>
            </w:r>
          </w:p>
          <w:p>
            <w:pPr>
              <w:pStyle w:val="ListBullet"/>
              <w:bidi/>
              <w:jc w:val="right"/>
            </w:pPr>
            <w:r>
              <w:rPr>
                <w:rFonts w:ascii="Arial" w:hAnsi="Arial" w:cs="Arial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rtl/>
              </w:rPr>
              <w:t>الفرص</w:t>
            </w:r>
          </w:p>
          <w:p>
            <w:pPr>
              <w:pStyle w:val="ListBullet"/>
              <w:bidi/>
              <w:jc w:val="right"/>
            </w:pPr>
            <w:r>
              <w:rPr>
                <w:rFonts w:ascii="Arial" w:hAnsi="Arial" w:cs="Arial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rtl/>
              </w:rPr>
              <w:t>التهديدات</w:t>
            </w:r>
          </w:p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التسعير بطبقتيه</w:t>
      </w:r>
    </w:p>
    <w:p>
      <w:pPr>
        <w:bidi/>
        <w:jc w:val="right"/>
      </w:pPr>
      <w:r>
        <w:rPr>
          <w:rFonts w:ascii="Arial" w:hAnsi="Arial" w:cs="Arial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 سعر الوحدة عند الحدود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3.0 USD/kg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سعر الوحدة السعودي عند الحدود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2.25 USD/kg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(85%)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الهامش عند الحدود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pStyle w:val="IntenseQuote"/>
        <w:bidi/>
        <w:jc w:val="right"/>
      </w:pPr>
      <w:r>
        <w:rPr>
          <w:rFonts w:ascii="Arial" w:hAnsi="Arial" w:cs="Arial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right"/>
      </w:pPr>
      <w:r>
        <w:rPr>
          <w:rFonts w:ascii="Arial" w:hAnsi="Arial" w:cs="Arial"/>
          <w:rtl/>
        </w:rPr>
        <w:t>طبقة التجزئة: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right"/>
      </w:pPr>
      <w:r>
        <w:rPr>
          <w:rFonts w:ascii="Arial" w:hAnsi="Arial" w:cs="Arial"/>
          <w:rtl/>
        </w:rPr>
        <w:t>مراجع الأسعار: غير مرصودة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موقعك التنافسي</w:t>
      </w:r>
    </w:p>
    <w:p>
      <w:pPr>
        <w:bidi/>
        <w:jc w:val="righ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١١. استخبارات العميل والطلب</w:t>
      </w:r>
    </w:p>
    <w:p>
      <w:pPr>
        <w:bidi/>
        <w:jc w:val="right"/>
      </w:pPr>
      <w:r>
        <w:rPr>
          <w:rFonts w:ascii="Arial" w:hAnsi="Arial" w:cs="Arial"/>
          <w:rtl/>
        </w:rPr>
        <w:t>—</w:t>
      </w:r>
    </w:p>
    <w:p>
      <w:pPr>
        <w:bidi/>
        <w:jc w:val="right"/>
      </w:pPr>
      <w:r>
        <w:rPr>
          <w:rFonts w:ascii="Arial" w:hAnsi="Arial" w:cs="Arial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١٢. المشهد التنظيمي والمخاطر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وزارة التجارة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https://mc.gov.sa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https://www.sfda.gov.sa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هيئة تنمية الصادرات السعودية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right"/>
      </w:pPr>
      <w:r>
        <w:rPr>
          <w:rFonts w:ascii="Arial" w:hAnsi="Arial" w:cs="Arial"/>
          <w:rtl/>
        </w:rPr>
        <w:t>المصدر: Silk L1 requirements reference (official portals / EUR-Lex) | سُحب: 2026-07-16 | ثقة: عالية (80%)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تركّز مصادر التوريد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تغطية بيانات منخفضة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right"/>
      </w:pPr>
      <w:r>
        <w:rPr>
          <w:rFonts w:ascii="Arial" w:hAnsi="Arial" w:cs="Arial"/>
          <w:rtl/>
        </w:rPr>
        <w:t>١٣. الاتجاهات والتوقع المستقبلي</w:t>
      </w:r>
    </w:p>
    <w:p>
      <w:pPr>
        <w:bidi/>
        <w:jc w:val="right"/>
      </w:pPr>
      <w:r>
        <w:rPr>
          <w:rFonts w:ascii="Arial" w:hAnsi="Arial" w:cs="Arial"/>
          <w:rtl/>
        </w:rPr>
        <w:t>بيانات الاتجاه غير كافية لهذه السنوات.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حدود هذا التقرير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الصين: دخل الفرد غير متوفر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الإمارات: دخل الفرد غير متوفر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١٤. التوصيات الاستراتيجية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استراتيجية دخول السوق</w:t>
      </w:r>
    </w:p>
    <w:p>
      <w:pPr>
        <w:bidi/>
        <w:jc w:val="right"/>
      </w:pPr>
      <w:r>
        <w:rPr>
          <w:rFonts w:ascii="Arial" w:hAnsi="Arial" w:cs="Arial"/>
          <w:rtl/>
        </w:rPr>
        <w:t>النموذج الموصى به: عبر موزّع/مستورد محلي قائم</w:t>
      </w:r>
    </w:p>
    <w:p>
      <w:pPr>
        <w:bidi/>
        <w:jc w:val="right"/>
      </w:pPr>
      <w:r>
        <w:rPr>
          <w:rFonts w:ascii="Arial" w:hAnsi="Arial" w:cs="Arial"/>
          <w:rtl/>
        </w:rPr>
        <w:t>الأساس (من الأقسام أعلاه، لا رقم جديد):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مؤشر تركّز الموردين HHI=0.38 (سوق مركّز)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أكبر حصة مورّد واحد 50.0%</w:t>
      </w:r>
    </w:p>
    <w:p>
      <w:pPr>
        <w:bidi/>
        <w:jc w:val="right"/>
      </w:pPr>
      <w:r>
        <w:rPr>
          <w:rFonts w:ascii="Arial" w:hAnsi="Arial" w:cs="Arial"/>
          <w:rtl/>
        </w:rPr>
        <w:t>التوصية: دخول مشروط — سوق الصين (ثقة منخفضة (31%))</w:t>
      </w:r>
    </w:p>
    <w:p>
      <w:pPr>
        <w:bidi/>
        <w:jc w:val="righ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دليل المورّدين والمستوردين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دليل المورّدين والمصنّعين</w:t>
      </w:r>
    </w:p>
    <w:p>
      <w:pPr>
        <w:bidi/>
        <w:jc w:val="right"/>
      </w:pPr>
      <w:r>
        <w:rPr>
          <w:rFonts w:ascii="Arial" w:hAnsi="Arial" w:cs="Arial"/>
          <w:rtl/>
        </w:rPr>
        <w:t>مورّدون ومصنّعون سعوديون: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—</w:t>
      </w:r>
    </w:p>
    <w:p>
      <w:pPr>
        <w:bidi/>
        <w:jc w:val="right"/>
      </w:pPr>
      <w:r>
        <w:rPr>
          <w:rFonts w:ascii="Arial" w:hAnsi="Arial" w:cs="Arial"/>
          <w:rtl/>
        </w:rPr>
        <w:t>موزّعون ومستوردون في السوق المستهدف: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—</w:t>
      </w:r>
    </w:p>
    <w:p>
      <w:pPr>
        <w:bidi/>
        <w:jc w:val="right"/>
      </w:pPr>
      <w:r>
        <w:rPr>
          <w:rFonts w:ascii="Arial" w:hAnsi="Arial" w:cs="Arial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حجم السوق والمنافسة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3/3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الاشتراطات والتعريفة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0.75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المنافسون بالاسم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0/0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الأسعار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2/2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الطلب والقدرة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0/1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المخاطر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الاتجاه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0/5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 w:cs="Arial"/>
          <w:rtl/>
        </w:rPr>
        <w:t>أقسام دون عتبة الكفاية</w:t>
      </w:r>
    </w:p>
    <w:p>
      <w:pPr>
        <w:bidi/>
        <w:jc w:val="right"/>
      </w:pPr>
      <w:r>
        <w:rPr>
          <w:rFonts w:ascii="Arial" w:hAnsi="Arial" w:cs="Arial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right"/>
      </w:pPr>
      <w:r>
        <w:rPr>
          <w:rFonts w:ascii="Arial" w:hAnsi="Arial" w:cs="Arial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right"/>
      </w:pPr>
      <w:r>
        <w:rPr>
          <w:rFonts w:ascii="Arial" w:hAnsi="Arial" w:cs="Arial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right"/>
      </w:pPr>
      <w:r>
        <w:rPr>
          <w:rFonts w:ascii="Arial" w:hAnsi="Arial" w:cs="Arial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أثر المصادر (المحاولات والإسهام)</w:t>
      </w:r>
    </w:p>
    <w:p>
      <w:pPr>
        <w:bidi/>
        <w:jc w:val="right"/>
      </w:pPr>
      <w:r>
        <w:rPr>
          <w:rFonts w:ascii="Arial" w:hAnsi="Arial" w:cs="Arial"/>
          <w:rtl/>
        </w:rPr>
        <w:t>UN Comtrade: أسهم 18 من 18 محاولة</w:t>
      </w:r>
    </w:p>
    <w:p>
      <w:pPr>
        <w:bidi/>
        <w:jc w:val="right"/>
      </w:pPr>
      <w:r>
        <w:rPr>
          <w:rFonts w:ascii="Arial" w:hAnsi="Arial" w:cs="Arial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right"/>
      </w:pPr>
      <w:r>
        <w:rPr>
          <w:rFonts w:ascii="Arial" w:hAnsi="Arial" w:cs="Arial"/>
          <w:rtl/>
        </w:rPr>
        <w:t>UN Comtrade (مخزن الحقائق): أسهم 14 من 14 محاولة</w:t>
      </w:r>
    </w:p>
    <w:p>
      <w:pPr>
        <w:bidi/>
        <w:jc w:val="right"/>
      </w:pPr>
      <w:r>
        <w:rPr>
          <w:rFonts w:ascii="Arial" w:hAnsi="Arial" w:cs="Arial"/>
          <w:rtl/>
        </w:rPr>
        <w:t>Pew Research Center (لقطة ساكنة مقرّبة): أسهم 4 من 4 محاولة</w:t>
      </w:r>
    </w:p>
    <w:p>
      <w:pPr>
        <w:bidi/>
        <w:jc w:val="right"/>
      </w:pPr>
      <w:r>
        <w:rPr>
          <w:rFonts w:ascii="Arial" w:hAnsi="Arial" w:cs="Arial"/>
          <w:rtl/>
        </w:rPr>
        <w:t>World Bank: أسهم 0 من 10 محاولة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 xml:space="preserve">    فشل مُسجَّل: no income data for CHN 2023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rtl/>
      </w:rP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righ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righ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righ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righ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righ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righ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righ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righ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righ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righ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righ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righ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righ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righ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righ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righ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righ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righ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righ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righ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righ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righ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righ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righ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righ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righ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