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right"/>
      </w:pPr>
      <w:r>
        <w:rPr>
          <w:rFonts w:ascii="Arial" w:hAnsi="Arial" w:cs="Arial"/>
          <w:rtl/>
        </w:rPr>
        <w:t>سِلك — تقرير بحث عميق: تمور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أُعد بواسطة منصة سِلك لذكاء الأسواق</w:t>
      </w:r>
    </w:p>
    <w:p>
      <w:pPr>
        <w:bidi/>
        <w:jc w:val="righ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إسبانيا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2026-07-16</w:t>
            </w:r>
          </w:p>
        </w:tc>
      </w:tr>
    </w:tbl>
    <w:p>
      <w:pPr>
        <w:pStyle w:val="Heading1"/>
        <w:bidi/>
        <w:jc w:val="right"/>
      </w:pPr>
      <w:r>
        <w:rPr>
          <w:rFonts w:ascii="Arial" w:hAnsi="Arial" w:cs="Arial"/>
          <w:rtl/>
        </w:rPr>
        <w:t>المحتويات</w:t>
      </w:r>
    </w:p>
    <w:p>
      <w:pPr>
        <w:bidi/>
        <w:jc w:val="righ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right"/>
      </w:pPr>
      <w:r>
        <w:rPr>
          <w:rFonts w:ascii="Arial" w:hAnsi="Arial" w:cs="Arial"/>
          <w:rtl/>
        </w:rPr>
        <w:t>2. ملخّص مصادر البحث</w:t>
      </w:r>
    </w:p>
    <w:p>
      <w:pPr>
        <w:bidi/>
        <w:jc w:val="right"/>
      </w:pPr>
      <w:r>
        <w:rPr>
          <w:rFonts w:ascii="Arial" w:hAnsi="Arial" w:cs="Arial"/>
          <w:rtl/>
        </w:rPr>
        <w:t>3. التقرير الكامل (كاتب التقرير، مراجَع)</w:t>
      </w:r>
    </w:p>
    <w:p>
      <w:pPr>
        <w:bidi/>
        <w:jc w:val="right"/>
      </w:pPr>
      <w:r>
        <w:rPr>
          <w:rFonts w:ascii="Arial" w:hAnsi="Arial" w:cs="Arial"/>
          <w:rtl/>
        </w:rPr>
        <w:t>4. ملحق — الأدلة الرقمية الداعمة للتقاطعات الخمسة</w:t>
      </w:r>
    </w:p>
    <w:p>
      <w:pPr>
        <w:bidi/>
        <w:jc w:val="right"/>
      </w:pPr>
      <w:r>
        <w:rPr>
          <w:rFonts w:ascii="Arial" w:hAnsi="Arial" w:cs="Arial"/>
          <w:rtl/>
        </w:rPr>
        <w:t>5. حدود هذا التقرير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right"/>
      </w:pPr>
      <w:r>
        <w:rPr>
          <w:rFonts w:ascii="Arial" w:hAnsi="Arial" w:cs="Arial"/>
          <w:rtl/>
        </w:rPr>
        <w:t>الحكم: مراقبة السوق</w:t>
      </w:r>
    </w:p>
    <w:p>
      <w:pPr>
        <w:bidi/>
        <w:jc w:val="righ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right"/>
      </w:pPr>
      <w:r>
        <w:rPr>
          <w:rFonts w:ascii="Arial" w:hAnsi="Arial" w:cs="Arial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right"/>
      </w:pPr>
      <w:r>
        <w:rPr>
          <w:rFonts w:ascii="Arial" w:hAnsi="Arial" w:cs="Arial"/>
          <w:rtl/>
        </w:rPr>
        <w:t>قسم البحث العميق — التقاطعات الخمسة والمحلل الشامل</w:t>
      </w:r>
    </w:p>
    <w:p>
      <w:pPr>
        <w:bidi/>
        <w:jc w:val="right"/>
      </w:pPr>
      <w:r>
        <w:rPr>
          <w:rFonts w:ascii="Arial" w:hAnsi="Arial" w:cs="Arial"/>
          <w:rtl/>
        </w:rPr>
        <w:t>السوق: إسبانيا (ESP) — الحكم: مراقبة السوق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تدفقات التجارة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اتجاهات الطلب والموسمية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تحليل الأسعار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ثقافة المستهلك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قنوات التوزيع والاستيراد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تحليل المنافسين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تقييم المخاطر والمستجدات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الديموغرافيا والاقتصاد الكلي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الاشتراطات الجمركية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الفرص الاستراتيجية والفجوات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اللوجستيات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 w:cs="Arial"/>
          <w:rtl/>
        </w:rPr>
        <w:t>التقرير الكامل (كاتب التقرير، مراجَع)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right"/>
      </w:pPr>
      <w:r>
        <w:rPr>
          <w:rFonts w:ascii="Arial" w:hAnsi="Arial" w:cs="Arial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right"/>
      </w:pPr>
      <w:r>
        <w:rPr>
          <w:rFonts w:ascii="Arial" w:hAnsi="Arial" w:cs="Arial"/>
          <w:rtl/>
        </w:rPr>
        <w:t>2.1 مليون نسمة ضمن واردات تمور سنوية تبلغ 61 مليون دولار؛ وثانياً سوق</w:t>
      </w:r>
    </w:p>
    <w:p>
      <w:pPr>
        <w:bidi/>
        <w:jc w:val="right"/>
      </w:pPr>
      <w:r>
        <w:rPr>
          <w:rFonts w:ascii="Arial" w:hAnsi="Arial" w:cs="Arial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right"/>
      </w:pPr>
      <w:r>
        <w:rPr>
          <w:rFonts w:ascii="Arial" w:hAnsi="Arial" w:cs="Arial"/>
          <w:rtl/>
        </w:rPr>
        <w:t>جديد منافس بالسعر؛ وثالثاً نمو الواردات 9% مركّباً على ثلاث سنوات. تتحول</w:t>
      </w:r>
    </w:p>
    <w:p>
      <w:pPr>
        <w:bidi/>
        <w:jc w:val="right"/>
      </w:pPr>
      <w:r>
        <w:rPr>
          <w:rFonts w:ascii="Arial" w:hAnsi="Arial" w:cs="Arial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right"/>
      </w:pPr>
      <w:r>
        <w:rPr>
          <w:rFonts w:ascii="Arial" w:hAnsi="Arial" w:cs="Arial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right"/>
      </w:pPr>
      <w:r>
        <w:rPr>
          <w:rFonts w:ascii="Arial" w:hAnsi="Arial" w:cs="Arial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right"/>
      </w:pPr>
      <w:r>
        <w:rPr>
          <w:rFonts w:ascii="Arial" w:hAnsi="Arial" w:cs="Arial"/>
          <w:rtl/>
        </w:rPr>
        <w:t>تقلّب سعري محدود لليورو بين آخر سنتين، ثم منافسة تونس والمغرب بالسعر.</w:t>
      </w:r>
    </w:p>
    <w:p>
      <w:pPr>
        <w:bidi/>
        <w:jc w:val="righ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right"/>
      </w:pPr>
      <w:r>
        <w:rPr>
          <w:rFonts w:ascii="Arial" w:hAnsi="Arial" w:cs="Arial"/>
          <w:rtl/>
        </w:rPr>
        <w:t>البوابة الحرجة الوحيدة قبل أي خطوة تسويقية.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2. منهجية البحث ونطاقه</w:t>
      </w:r>
    </w:p>
    <w:p>
      <w:pPr>
        <w:pStyle w:val="Heading4"/>
        <w:bidi/>
        <w:jc w:val="right"/>
      </w:pPr>
      <w:r>
        <w:rPr>
          <w:rFonts w:ascii="Arial" w:hAnsi="Arial" w:cs="Arial"/>
          <w:rtl/>
        </w:rPr>
        <w:t>حدود المنهجية وجودة البيانات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right"/>
      </w:pPr>
      <w:r>
        <w:rPr>
          <w:rFonts w:ascii="Arial" w:hAnsi="Arial" w:cs="Arial"/>
          <w:rtl/>
        </w:rPr>
        <w:t>اعتمد هذا التقرير على Comtrade (تدفقات الاستيراد والمورّدون)، World</w:t>
      </w:r>
    </w:p>
    <w:p>
      <w:pPr>
        <w:bidi/>
        <w:jc w:val="right"/>
      </w:pPr>
      <w:r>
        <w:rPr>
          <w:rFonts w:ascii="Arial" w:hAnsi="Arial" w:cs="Arial"/>
          <w:rtl/>
        </w:rPr>
        <w:t>Bank (السكان والدخل ومؤشرات الحوكمة وسعر الصرف)، WITS (التعريفة)،</w:t>
      </w:r>
    </w:p>
    <w:p>
      <w:pPr>
        <w:bidi/>
        <w:jc w:val="right"/>
      </w:pPr>
      <w:r>
        <w:rPr>
          <w:rFonts w:ascii="Arial" w:hAnsi="Arial" w:cs="Arial"/>
          <w:rtl/>
        </w:rPr>
        <w:t>وبحث ويب موجَّه (الأسعار والمستوردون وثقافة الاستهلاك). ١٠ من ١٢</w:t>
      </w:r>
    </w:p>
    <w:p>
      <w:pPr>
        <w:bidi/>
        <w:jc w:val="right"/>
      </w:pPr>
      <w:r>
        <w:rPr>
          <w:rFonts w:ascii="Arial" w:hAnsi="Arial" w:cs="Arial"/>
          <w:rtl/>
        </w:rPr>
        <w:t>بعثة أنتجت أدلة مستشهَداً بها. سنة البيانات الأساسية 2023. تعريف</w:t>
      </w:r>
    </w:p>
    <w:p>
      <w:pPr>
        <w:bidi/>
        <w:jc w:val="right"/>
      </w:pPr>
      <w:r>
        <w:rPr>
          <w:rFonts w:ascii="Arial" w:hAnsi="Arial" w:cs="Arial"/>
          <w:rtl/>
        </w:rPr>
        <w:t>السوق: إسبانيا (ESP)، رمز HS080410 (تمور).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3. نظرة عامة على السوق وحجمه</w:t>
      </w:r>
    </w:p>
    <w:p>
      <w:pPr>
        <w:bidi/>
        <w:jc w:val="right"/>
      </w:pPr>
      <w:r>
        <w:rPr>
          <w:rFonts w:ascii="Arial" w:hAnsi="Arial" w:cs="Arial"/>
          <w:rtl/>
        </w:rPr>
        <w:t>واردات إسبانيا من تمور HS080410 بلغت 61 مليون دولار عام 2023 (UN</w:t>
      </w:r>
    </w:p>
    <w:p>
      <w:pPr>
        <w:bidi/>
        <w:jc w:val="right"/>
      </w:pPr>
      <w:r>
        <w:rPr>
          <w:rFonts w:ascii="Arial" w:hAnsi="Arial" w:cs="Arial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right"/>
      </w:pPr>
      <w:r>
        <w:rPr>
          <w:rFonts w:ascii="Arial" w:hAnsi="Arial" w:cs="Arial"/>
          <w:rtl/>
        </w:rPr>
        <w:t>61,000,000$ (إجمالي واردات السوق). SAM = TAM × 3.4% (حصة الشريحة</w:t>
      </w:r>
    </w:p>
    <w:p>
      <w:pPr>
        <w:bidi/>
        <w:jc w:val="right"/>
      </w:pPr>
      <w:r>
        <w:rPr>
          <w:rFonts w:ascii="Arial" w:hAnsi="Arial" w:cs="Arial"/>
          <w:rtl/>
        </w:rPr>
        <w:t>الحلال المتخصصة المقدَّرة من نمط استهلاك الجاليات المسلمة) ≈</w:t>
      </w:r>
    </w:p>
    <w:p>
      <w:pPr>
        <w:bidi/>
        <w:jc w:val="right"/>
      </w:pPr>
      <w:r>
        <w:rPr>
          <w:rFonts w:ascii="Arial" w:hAnsi="Arial" w:cs="Arial"/>
          <w:rtl/>
        </w:rPr>
        <w:t>2,074,000$. SOM = SAM × 8% (حصة واقعية مستهدَفة في أول ثلاث سنوات</w:t>
      </w:r>
    </w:p>
    <w:p>
      <w:pPr>
        <w:bidi/>
        <w:jc w:val="right"/>
      </w:pPr>
      <w:r>
        <w:rPr>
          <w:rFonts w:ascii="Arial" w:hAnsi="Arial" w:cs="Arial"/>
          <w:rtl/>
        </w:rPr>
        <w:t>دخول، افتراض متحفظ لمورّد جديد) ≈ 166,000$ سنوياً.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4. ديناميكيات السوق</w:t>
      </w:r>
    </w:p>
    <w:p>
      <w:pPr>
        <w:bidi/>
        <w:jc w:val="right"/>
      </w:pPr>
      <w:r>
        <w:rPr>
          <w:rFonts w:ascii="Arial" w:hAnsi="Arial" w:cs="Arial"/>
          <w:rtl/>
        </w:rPr>
        <w:t>محرّكات: نمو سكاني للجالية المسلمة ونمو دخل للفرد. معوّقات: بوابة</w:t>
      </w:r>
    </w:p>
    <w:p>
      <w:pPr>
        <w:bidi/>
        <w:jc w:val="right"/>
      </w:pPr>
      <w:r>
        <w:rPr>
          <w:rFonts w:ascii="Arial" w:hAnsi="Arial" w:cs="Arial"/>
          <w:rtl/>
        </w:rPr>
        <w:t>الأهلية الأوروبية الإلزامية. فرص: تجزّؤ المورّدين (HHI≈2350) يترك</w:t>
      </w:r>
    </w:p>
    <w:p>
      <w:pPr>
        <w:bidi/>
        <w:jc w:val="right"/>
      </w:pPr>
      <w:r>
        <w:rPr>
          <w:rFonts w:ascii="Arial" w:hAnsi="Arial" w:cs="Arial"/>
          <w:rtl/>
        </w:rPr>
        <w:t>مجالاً لمنافس جديد. تهديدات: منافسة تونس والمغرب بأسعار أقل في نفس</w:t>
      </w:r>
    </w:p>
    <w:p>
      <w:pPr>
        <w:bidi/>
        <w:jc w:val="right"/>
      </w:pPr>
      <w:r>
        <w:rPr>
          <w:rFonts w:ascii="Arial" w:hAnsi="Arial" w:cs="Arial"/>
          <w:rtl/>
        </w:rPr>
        <w:t>القناة المتخصصة.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5. تحليل المستهلك والطلب</w:t>
      </w:r>
    </w:p>
    <w:p>
      <w:pPr>
        <w:bidi/>
        <w:jc w:val="right"/>
      </w:pPr>
      <w:r>
        <w:rPr>
          <w:rFonts w:ascii="Arial" w:hAnsi="Arial" w:cs="Arial"/>
          <w:rtl/>
        </w:rPr>
        <w:t>حساب صريح لحجم الشريحة: عدد سكان إسبانيا 47,500,000 × نسبة الشريحة</w:t>
      </w:r>
    </w:p>
    <w:p>
      <w:pPr>
        <w:bidi/>
        <w:jc w:val="right"/>
      </w:pPr>
      <w:r>
        <w:rPr>
          <w:rFonts w:ascii="Arial" w:hAnsi="Arial" w:cs="Arial"/>
          <w:rtl/>
        </w:rPr>
        <w:t>المسلمة المقدَّرة 4.4% ≈ 2,090,000 نسمة. بافتراض استهلاك موسمي 2</w:t>
      </w:r>
    </w:p>
    <w:p>
      <w:pPr>
        <w:bidi/>
        <w:jc w:val="right"/>
      </w:pPr>
      <w:r>
        <w:rPr>
          <w:rFonts w:ascii="Arial" w:hAnsi="Arial" w:cs="Arial"/>
          <w:rtl/>
        </w:rPr>
        <w:t>كغم/فرد سنوياً (نمط رمضان في أسواق أوروبية مشابهة) × متوسط سعر</w:t>
      </w:r>
    </w:p>
    <w:p>
      <w:pPr>
        <w:bidi/>
        <w:jc w:val="right"/>
      </w:pPr>
      <w:r>
        <w:rPr>
          <w:rFonts w:ascii="Arial" w:hAnsi="Arial" w:cs="Arial"/>
          <w:rtl/>
        </w:rPr>
        <w:t>تجزئة 9 يورو/كغم ≈ نطاق إيرادات محتمل يتراوح بين 3.3 و4.2 مليون</w:t>
      </w:r>
    </w:p>
    <w:p>
      <w:pPr>
        <w:bidi/>
        <w:jc w:val="right"/>
      </w:pPr>
      <w:r>
        <w:rPr>
          <w:rFonts w:ascii="Arial" w:hAnsi="Arial" w:cs="Arial"/>
          <w:rtl/>
        </w:rPr>
        <w:t>يورو سنوياً لكامل الشريحة. اتجاه بحث خمس سنوات صاعد بذروة موسمية</w:t>
      </w:r>
    </w:p>
    <w:p>
      <w:pPr>
        <w:bidi/>
        <w:jc w:val="right"/>
      </w:pPr>
      <w:r>
        <w:rPr>
          <w:rFonts w:ascii="Arial" w:hAnsi="Arial" w:cs="Arial"/>
          <w:rtl/>
        </w:rPr>
        <w:t>واضحة حول رمضان (Google Trends).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6. المشهد التنافسي</w:t>
      </w:r>
    </w:p>
    <w:p>
      <w:pPr>
        <w:bidi/>
        <w:jc w:val="right"/>
      </w:pPr>
      <w:r>
        <w:rPr>
          <w:rFonts w:ascii="Arial" w:hAnsi="Arial" w:cs="Arial"/>
          <w:rtl/>
        </w:rPr>
        <w:t>مؤشر تركّز المورّدين HHI≈2350 (نطاق معتدل — لا مورّد مهيمناً) من</w:t>
      </w:r>
    </w:p>
    <w:p>
      <w:pPr>
        <w:bidi/>
        <w:jc w:val="right"/>
      </w:pPr>
      <w:r>
        <w:rPr>
          <w:rFonts w:ascii="Arial" w:hAnsi="Arial" w:cs="Arial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34%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22%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18%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26%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تمور اقتصادية (سوبرماركت عام)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5.80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تمور متوسطة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8.90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</w:tr>
      <w:tr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تمور فاخرة (متجر متخصص)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13.50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rtl/>
        </w:rPr>
        <w:t>حساب الهامش: سعر التصدير 9.1$/كغم + شحن 0.85$/كغم + تعريفة 0% =</w:t>
      </w:r>
    </w:p>
    <w:p>
      <w:pPr>
        <w:bidi/>
        <w:jc w:val="right"/>
      </w:pPr>
      <w:r>
        <w:rPr>
          <w:rFonts w:ascii="Arial" w:hAnsi="Arial" w:cs="Arial"/>
          <w:rtl/>
        </w:rPr>
        <w:t>تكلفة واصلة 9.95$/كغم ≈ 9.2 يورو/كغم — يقع عند حافة الطبقة المتوسطة/</w:t>
      </w:r>
    </w:p>
    <w:p>
      <w:pPr>
        <w:bidi/>
        <w:jc w:val="right"/>
      </w:pPr>
      <w:r>
        <w:rPr>
          <w:rFonts w:ascii="Arial" w:hAnsi="Arial" w:cs="Arial"/>
          <w:rtl/>
        </w:rPr>
        <w:t>الفاخرة، هامش موجب فقط عند استهداف القناة المتخصصة لا السوبرماركت</w:t>
      </w:r>
    </w:p>
    <w:p>
      <w:pPr>
        <w:bidi/>
        <w:jc w:val="right"/>
      </w:pPr>
      <w:r>
        <w:rPr>
          <w:rFonts w:ascii="Arial" w:hAnsi="Arial" w:cs="Arial"/>
          <w:rtl/>
        </w:rPr>
        <w:t>العام.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معيار GSO 993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8. اللوجستيات وسلسلة الإمداد</w:t>
      </w:r>
    </w:p>
    <w:p>
      <w:pPr>
        <w:bidi/>
        <w:jc w:val="right"/>
      </w:pPr>
      <w:r>
        <w:rPr>
          <w:rFonts w:ascii="Arial" w:hAnsi="Arial" w:cs="Arial"/>
          <w:rtl/>
        </w:rPr>
        <w:t>ميناء فالنسيا أقرب بوابة استيراد رئيسية، مؤشر أداء اللوجستيات</w:t>
      </w:r>
    </w:p>
    <w:p>
      <w:pPr>
        <w:bidi/>
        <w:jc w:val="right"/>
      </w:pPr>
      <w:r>
        <w:rPr>
          <w:rFonts w:ascii="Arial" w:hAnsi="Arial" w:cs="Arial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right"/>
      </w:pPr>
      <w:r>
        <w:rPr>
          <w:rFonts w:ascii="Arial" w:hAnsi="Arial" w:cs="Arial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9. تقييم المخاطر</w:t>
      </w:r>
    </w:p>
    <w:p>
      <w:pPr>
        <w:bidi/>
        <w:jc w:val="right"/>
      </w:pPr>
      <w:r>
        <w:rPr>
          <w:rFonts w:ascii="Arial" w:hAnsi="Arial" w:cs="Arial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right"/>
      </w:pPr>
      <w:r>
        <w:rPr>
          <w:rFonts w:ascii="Arial" w:hAnsi="Arial" w:cs="Arial"/>
          <w:rtl/>
        </w:rPr>
        <w:t>تقلّب سعر الصرف محدود: اليورو/دولار تحرّك نحو 2% بين آخر سنتين</w:t>
      </w:r>
    </w:p>
    <w:p>
      <w:pPr>
        <w:bidi/>
        <w:jc w:val="right"/>
      </w:pPr>
      <w:r>
        <w:rPr>
          <w:rFonts w:ascii="Arial" w:hAnsi="Arial" w:cs="Arial"/>
          <w:rtl/>
        </w:rPr>
        <w:t>مرصودتين (World Bank سعر الصرف) — تقلّب منخفض نسبياً. لا أخبار</w:t>
      </w:r>
    </w:p>
    <w:p>
      <w:pPr>
        <w:bidi/>
        <w:jc w:val="right"/>
      </w:pPr>
      <w:r>
        <w:rPr>
          <w:rFonts w:ascii="Arial" w:hAnsi="Arial" w:cs="Arial"/>
          <w:rtl/>
        </w:rPr>
        <w:t>مخاطر قطاعية جوهرية خلال 12 شهراً (GDELT).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10. التوصيات الاستراتيجية</w:t>
      </w:r>
    </w:p>
    <w:p>
      <w:pPr>
        <w:bidi/>
        <w:jc w:val="right"/>
      </w:pPr>
      <w:r>
        <w:rPr>
          <w:rFonts w:ascii="Arial" w:hAnsi="Arial" w:cs="Arial"/>
          <w:rtl/>
        </w:rPr>
        <w:t>تدعم الأدلة دخولاً مشروطاً بتأمين الأهلية التنظيمية أولاً. أقوى ثلاثة</w:t>
      </w:r>
    </w:p>
    <w:p>
      <w:pPr>
        <w:bidi/>
        <w:jc w:val="right"/>
      </w:pPr>
      <w:r>
        <w:rPr>
          <w:rFonts w:ascii="Arial" w:hAnsi="Arial" w:cs="Arial"/>
          <w:rtl/>
        </w:rPr>
        <w:t>أسباب: أولاً شريحة مستهدَفة 2.09 مليون نسمة ضمن واردات السوق؛ وثانياً</w:t>
      </w:r>
    </w:p>
    <w:p>
      <w:pPr>
        <w:bidi/>
        <w:jc w:val="right"/>
      </w:pPr>
      <w:r>
        <w:rPr>
          <w:rFonts w:ascii="Arial" w:hAnsi="Arial" w:cs="Arial"/>
          <w:rtl/>
        </w:rPr>
        <w:t>سوق مورّدين مجزَّأ (HHI≈2350) يسمح بدخول منافس جديد؛ وثالثاً نمو واردات</w:t>
      </w:r>
    </w:p>
    <w:p>
      <w:pPr>
        <w:bidi/>
        <w:jc w:val="right"/>
      </w:pPr>
      <w:r>
        <w:rPr>
          <w:rFonts w:ascii="Arial" w:hAnsi="Arial" w:cs="Arial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التوصية</w:t>
            </w:r>
          </w:p>
        </w:tc>
        <w:tc>
          <w:tcPr>
            <w:tcW w:type="dxa" w:w="4680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درجة الثقة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</w:tr>
    </w:tbl>
    <w:p>
      <w:pPr>
        <w:pStyle w:val="Heading4"/>
        <w:bidi/>
        <w:jc w:val="righ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righ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right"/>
      </w:pPr>
      <w:r>
        <w:rPr>
          <w:rFonts w:ascii="Arial" w:hAnsi="Arial" w:cs="Arial"/>
          <w:rtl/>
        </w:rPr>
        <w:t>2,090,000 نسمة). (ب) التموضع بين طبقة Carrefour المتوسطة (8.90€) وطبقة</w:t>
      </w:r>
    </w:p>
    <w:p>
      <w:pPr>
        <w:bidi/>
        <w:jc w:val="right"/>
      </w:pPr>
      <w:r>
        <w:rPr>
          <w:rFonts w:ascii="Arial" w:hAnsi="Arial" w:cs="Arial"/>
          <w:rtl/>
        </w:rPr>
        <w:t>الفاخر (13.50€) وفق سلّم الأسعار المرصود، بهامش تقديري 1.2-2.0 يورو/كغم</w:t>
      </w:r>
    </w:p>
    <w:p>
      <w:pPr>
        <w:bidi/>
        <w:jc w:val="right"/>
      </w:pPr>
      <w:r>
        <w:rPr>
          <w:rFonts w:ascii="Arial" w:hAnsi="Arial" w:cs="Arial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right"/>
      </w:pPr>
      <w:r>
        <w:rPr>
          <w:rFonts w:ascii="Arial" w:hAnsi="Arial" w:cs="Arial"/>
          <w:rtl/>
        </w:rPr>
        <w:t>متخصصون في مدريد وبرشلونة (○ غير متحقق، يتطلب تحققاً مباشراً). (د)</w:t>
      </w:r>
    </w:p>
    <w:p>
      <w:pPr>
        <w:bidi/>
        <w:jc w:val="right"/>
      </w:pPr>
      <w:r>
        <w:rPr>
          <w:rFonts w:ascii="Arial" w:hAnsi="Arial" w:cs="Arial"/>
          <w:rtl/>
        </w:rPr>
        <w:t>أول ثلاث خطوات: 1) تسجيل المنشأة كمعتمدة EU 2017/625 — مسؤول: فريق</w:t>
      </w:r>
    </w:p>
    <w:p>
      <w:pPr>
        <w:bidi/>
        <w:jc w:val="right"/>
      </w:pPr>
      <w:r>
        <w:rPr>
          <w:rFonts w:ascii="Arial" w:hAnsi="Arial" w:cs="Arial"/>
          <w:rtl/>
        </w:rPr>
        <w:t>الامتثال، تكلفة متوسطة؛ 2) عيّنة تجريبية لموزّع مرشّح — مسؤول: فريق</w:t>
      </w:r>
    </w:p>
    <w:p>
      <w:pPr>
        <w:bidi/>
        <w:jc w:val="right"/>
      </w:pPr>
      <w:r>
        <w:rPr>
          <w:rFonts w:ascii="Arial" w:hAnsi="Arial" w:cs="Arial"/>
          <w:rtl/>
        </w:rPr>
        <w:t>المبيعات، تكلفة منخفضة؛ 3) دراسة تسعير تنافسي مباشر مقابل تونس/</w:t>
      </w:r>
    </w:p>
    <w:p>
      <w:pPr>
        <w:bidi/>
        <w:jc w:val="right"/>
      </w:pPr>
      <w:r>
        <w:rPr>
          <w:rFonts w:ascii="Arial" w:hAnsi="Arial" w:cs="Arial"/>
          <w:rtl/>
        </w:rPr>
        <w:t>الجزائر — مسؤول: فريق التسويق، تكلفة منخفضة. (هـ) مؤشرا القلب:</w:t>
      </w:r>
    </w:p>
    <w:p>
      <w:pPr>
        <w:bidi/>
        <w:jc w:val="right"/>
      </w:pPr>
      <w:r>
        <w:rPr>
          <w:rFonts w:ascii="Arial" w:hAnsi="Arial" w:cs="Arial"/>
          <w:rtl/>
        </w:rPr>
        <w:t>تسجيل الأهلية خلال ٩٠ يوماً، ورد فعل سعري من موزّع واحد على الأقل.</w:t>
      </w:r>
    </w:p>
    <w:p>
      <w:pPr>
        <w:bidi/>
        <w:jc w:val="right"/>
      </w:pPr>
      <w:r>
        <w:rPr>
          <w:rFonts w:ascii="Arial" w:hAnsi="Arial" w:cs="Arial"/>
          <w:b/>
          <w:rtl/>
        </w:rPr>
        <w:t>ماذا يعني هذا لقرارك: هذه الخطوات الثلاث تحدد إن كانت التوصية</w:t>
      </w:r>
    </w:p>
    <w:p>
      <w:pPr>
        <w:bidi/>
        <w:jc w:val="right"/>
      </w:pPr>
      <w:r>
        <w:rPr>
          <w:rFonts w:ascii="Arial" w:hAnsi="Arial" w:cs="Arial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11. الملاحق</w:t>
      </w:r>
    </w:p>
    <w:p>
      <w:pPr>
        <w:bidi/>
        <w:jc w:val="right"/>
      </w:pPr>
      <w:r>
        <w:rPr>
          <w:rFonts w:ascii="Arial" w:hAnsi="Arial" w:cs="Arial"/>
          <w:rtl/>
        </w:rPr>
        <w:t>أدلة التقاطعات الخمسة الكاملة (الطلب، تكلفة الدخول، التنافسية</w:t>
      </w:r>
    </w:p>
    <w:p>
      <w:pPr>
        <w:bidi/>
        <w:jc w:val="right"/>
      </w:pPr>
      <w:r>
        <w:rPr>
          <w:rFonts w:ascii="Arial" w:hAnsi="Arial" w:cs="Arial"/>
          <w:rtl/>
        </w:rPr>
        <w:t>السعرية، أبواب الدخول، SWOT) والملحق التقني الكامل (كل استشهاد برقم</w:t>
      </w:r>
    </w:p>
    <w:p>
      <w:pPr>
        <w:bidi/>
        <w:jc w:val="right"/>
      </w:pPr>
      <w:r>
        <w:rPr>
          <w:rFonts w:ascii="Arial" w:hAnsi="Arial" w:cs="Arial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TAM: إجمالي حجم السوق الكلي المتاح نظرياً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SOM: الحصة الواقعية القابلة للالتقاط في المدى القصير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Halal Mayorista SL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Madrid (نموذج)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+34 91 000 0000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ventas@halalm.example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4.1 (41)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All4Trade (مرشّح ويب)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○ مرشّح ويب غير موثَّق</w:t>
            </w:r>
          </w:p>
        </w:tc>
      </w:tr>
    </w:tbl>
    <w:p>
      <w:pPr>
        <w:pStyle w:val="IntenseQuote"/>
        <w:bidi/>
        <w:jc w:val="righ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التمور السعودية — التحقق التجاري خطوة تالية.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ملحق — الأدلة الرقمية الداعمة للتقاطعات الخمسة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الطلب الفعلي القابل للتوجيه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الشريحة المسلمة في إسبانيا نحو 2.09 مليون نسمة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واردات إسبانيا من تمور HS080410 بلغت 61 مليون دولار (2023)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[UN Comtrade — ✓ موثّق] تدفق استيراد مباشر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نمو الواردات 9% مركّباً على ثلاث سنوات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[UN Comtrade — ✓ موثّق] اتجاه ثلاث سنوات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تكلفة وصعوبة الدخول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تعريفة صفرية على HS080410 ضمن GSP+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[WITS/WTO Tariff — ✓ موثّق] تعريفة مطبّقة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تكلفة شحن بحري مقدَّرة 0.85$/كغم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[تقدير لوجستي داخلي — ◐ ثانوي] تقدير غير رسمي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التنافسية السعرية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Mercadona: تمور اقتصادية 5.80€/كغم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[Mercadona (رصد ويب) — ◐ ثانوي] سعر تجزئة مرصود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Carrefour: تمور متوسطة 8.90€/كغم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[Carrefour (رصد ويب) — ◐ ثانوي] سعر تجزئة مرصود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متاجر متخصصة: تمور فاخرة حتى 13.50€/كغم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[رصد ويب متعدد — ◐ ثانوي] نطاق تقديري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أبواب الدخول الأكثر أماناً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موزّع أغذية حلال في مدريد — مرشّح محتمل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[بحث ويب (غير مؤكَّد) — ○ غير متحقق] مرشّح غير متحقق</w:t>
      </w:r>
    </w:p>
    <w:p>
      <w:pPr>
        <w:pStyle w:val="Heading3"/>
        <w:bidi/>
        <w:jc w:val="right"/>
      </w:pPr>
      <w:r>
        <w:rPr>
          <w:rFonts w:ascii="Arial" w:hAnsi="Arial" w:cs="Arial"/>
          <w:rtl/>
        </w:rPr>
        <w:t>SWOT من منظور المصدّر السعودي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تعريفة صفرية وسوق مورّدين مجزَّأ (قوة)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[تحليل مركّب — ◐ ثانوي] نقطة قوة</w:t>
      </w:r>
    </w:p>
    <w:p>
      <w:pPr>
        <w:pStyle w:val="ListBullet"/>
        <w:bidi/>
        <w:jc w:val="right"/>
      </w:pPr>
      <w:r>
        <w:rPr>
          <w:rFonts w:ascii="Arial" w:hAnsi="Arial" w:cs="Arial"/>
          <w:rtl/>
        </w:rPr>
        <w:t>لا حضور علامة سعودية مثبت (ضعف)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[تحليل مركّب — ◐ ثانوي] نقطة ضعف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فعّل خدمة التعميق المدفوعة للتحقق من المستوردين وجهات الاتصال (Volza/Explee)</w:t>
      </w:r>
    </w:p>
    <w:p>
      <w:pPr>
        <w:pStyle w:val="Heading2"/>
        <w:bidi/>
        <w:jc w:val="righ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right"/>
      </w:pPr>
      <w:r>
        <w:rPr>
          <w:rFonts w:ascii="Arial" w:hAnsi="Arial" w:cs="Arial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61000000.0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Mercadona: تمور اقتصادية 5.80€/كغم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Carrefour: تمور متوسطة 8.90€/كغم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OpenAlex + بحث ويب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GDELT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0.92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0.94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47500000.0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29350.0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rtl/>
      </w:rP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righ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righ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righ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righ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righ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righ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righ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righ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righ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righ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righ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righ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righ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righ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righ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righ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righ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righ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righ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righ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righ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righ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righ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righ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righ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righ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righ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righ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righ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righ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righ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righ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righ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