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بحث سوق: تمور</w:t>
      </w:r>
    </w:p>
    <w:p>
      <w:r>
        <w:t>⚠ TEST RUN — تشغيل برهاني ببدائل موسومة (SILK_HERMETIC)،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البند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</w:tcPr>
          <w:p>
            <w:r>
              <w:t>رمز HS</w:t>
            </w:r>
          </w:p>
        </w:tc>
        <w:tc>
          <w:tcPr>
            <w:tcW w:type="dxa" w:w="4320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</w:tcPr>
          <w:p>
            <w:r>
              <w:t>السوق المستهدف</w:t>
            </w:r>
          </w:p>
        </w:tc>
        <w:tc>
          <w:tcPr>
            <w:tcW w:type="dxa" w:w="4320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2026-07-08</w:t>
            </w:r>
          </w:p>
        </w:tc>
      </w:tr>
      <w:tr>
        <w:tc>
          <w:tcPr>
            <w:tcW w:type="dxa" w:w="4320"/>
          </w:tcPr>
          <w:p>
            <w:r>
              <w:t>سنة البيانات</w:t>
            </w:r>
          </w:p>
        </w:tc>
        <w:tc>
          <w:tcPr>
            <w:tcW w:type="dxa" w:w="4320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57.1%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57.1%.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0/3 وكلاء أساسيون لديهم بيانات؛ فجوات: بيانات التدفق التجاري، المؤشرات الاقتصادية، بيانات المنافسة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سوق واحد مرشّح، ومفصَّلة بعمق للسوق الأعلى ترتيباً (China). يستثني هذا التقرير: التسعير التفصيلي بالتجزئة والملفات المالية للمنافسين (تتطلبان تعميقاً مدفوعاً عبر /deepen)،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(مع أطر بورتر وPESTEL) لم يُشغَّل في هذا التحليل — يتطلب وكيل الديناميكيات النوعي.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import_growth_pct</w:t>
            </w:r>
          </w:p>
        </w:tc>
        <w:tc>
          <w:tcPr>
            <w:tcW w:type="dxa" w:w="2160"/>
          </w:tcPr>
          <w:p>
            <w:r>
              <w:t>50.0 %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الدولة المورّدة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الحصة 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القيمة (دولار)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30,000,000</w:t>
            </w:r>
          </w:p>
        </w:tc>
      </w:tr>
      <w:tr>
        <w:tc>
          <w:tcPr>
            <w:tcW w:type="dxa" w:w="2880"/>
          </w:tcPr>
          <w:p>
            <w:r>
              <w:t>Saudi Arabia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18,000,000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12,000,000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r>
        <w:t>حجم واردات السوق: 60,000,000</w:t>
      </w:r>
    </w:p>
    <w:p>
      <w:pPr>
        <w:pStyle w:val="IntenseQuote"/>
      </w:pPr>
      <w:r>
        <w:t>المصدر: UN Comtrade | سُحب: 2026-07-08 | ثقة: 0.9</w:t>
      </w:r>
    </w:p>
    <w:p>
      <w:r>
        <w:t>الحصة السعودية: 30.0</w:t>
      </w:r>
    </w:p>
    <w:p>
      <w:pPr>
        <w:pStyle w:val="IntenseQuote"/>
      </w:pPr>
      <w:r>
        <w:t>المصدر: UN Comtrade | سُحب: 2026-07-08 | ثقة: 0.9</w:t>
      </w:r>
    </w:p>
    <w:p>
      <w:r>
        <w:t>دخل الفرد: —</w:t>
      </w:r>
    </w:p>
    <w:p>
      <w:pPr>
        <w:pStyle w:val="IntenseQuote"/>
      </w:pPr>
      <w:r>
        <w:t>المصدر: World Bank | سُحب: 2026-07-08 | ثقة: 0.0</w:t>
      </w:r>
    </w:p>
    <w:p>
      <w:r>
        <w:t>تركّز الموردين: 0.38</w:t>
      </w:r>
    </w:p>
    <w:p>
      <w:pPr>
        <w:pStyle w:val="IntenseQuote"/>
      </w:pPr>
      <w:r>
        <w:t>المصدر: UN Comtrade | سُحب: 2026-07-08 | ثقة: 0.9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</w:tcPr>
          <w:p>
            <w:r>
              <w:t>top_supplier_share_pct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saudi_border_unit_value_usd_kg</w:t>
            </w:r>
          </w:p>
        </w:tc>
        <w:tc>
          <w:tcPr>
            <w:tcW w:type="dxa" w:w="2160"/>
          </w:tcPr>
          <w:p>
            <w:r>
              <w:t>2.25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0.85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attempted)؛ ولا نتائج Google Shopping مرصودة (requires SEARCH_API_KEY)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البند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الجهة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الاتجاه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2026-07-08 | ثقة: 0.8</w:t>
      </w:r>
    </w:p>
    <w:p>
      <w:pPr>
        <w:pStyle w:val="ListBullet"/>
      </w:pPr>
      <w:r>
        <w:t>غير متوفر: التعريفة الجمركية المطبّقة: WITS unavailable: ProxyError for HS080410 SAU-&gt;CHN 2023: HTTPSConnectionPool(host='wits.worldbank.org', port=443): Max retries exceeded with url: /API/V1/SDMX/V21/datasource/TRN/reporter/CHN/partner/SAU/product/080410/year/2023/datatype/AHS?format=JSON (Caused by ProxyError('Unable to connect to proxy', NewConnectionError("HTTPSConnection(host='127.0.0.1', port=43475): Failed to establish a new connection: network disabled for offline test")))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الخطر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الشدة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</w:tcPr>
          <w:p>
            <w:r>
              <w:t>تغطية بيانات منخفضة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CONDITIONAL-GO | النقاط: 0.636 | الثقة: 0.31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العمود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الأساس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</w:tcPr>
          <w:p>
            <w:r>
              <w:t>المنافسة</w:t>
            </w:r>
          </w:p>
        </w:tc>
        <w:tc>
          <w:tcPr>
            <w:tcW w:type="dxa" w:w="2160"/>
          </w:tcPr>
          <w:p>
            <w:r>
              <w:t>0.63</w:t>
            </w:r>
          </w:p>
        </w:tc>
        <w:tc>
          <w:tcPr>
            <w:tcW w:type="dxa" w:w="2160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</w:tcPr>
          <w:p>
            <w:r>
              <w:t>الربحية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  <w:tc>
          <w:tcPr>
            <w:tcW w:type="dxa" w:w="2160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score 0.636 في النطاق الشرطي والثقة 0.31 دون 0.6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(ثقة 0.4) — أكّدهم قبل التعاقد؛ الترقية الموثّقة عبر /deepen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القسم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المُسهم/المُحاوَل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الاشتراطات والتعريفة</w:t>
            </w:r>
          </w:p>
        </w:tc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الأسعار</w:t>
            </w:r>
          </w:p>
        </w:tc>
        <w:tc>
          <w:tcPr>
            <w:tcW w:type="dxa" w:w="2880"/>
          </w:tcPr>
          <w:p>
            <w:r>
              <w:t>2/2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المخاطر</w:t>
            </w:r>
          </w:p>
        </w:tc>
        <w:tc>
          <w:tcPr>
            <w:tcW w:type="dxa" w:w="2880"/>
          </w:tcPr>
          <w:p>
            <w:r>
              <w:t>0/4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لا مصادر مُحاوَلة</w:t>
      </w:r>
    </w:p>
    <w:p>
      <w:pPr>
        <w:pStyle w:val="Heading2"/>
      </w:pPr>
      <w:r>
        <w:t>أثر المصادر (المحاولات والإسهام)</w:t>
      </w:r>
    </w:p>
    <w:p>
      <w:r>
        <w:t>UN Comtrade: أسهم 9 من 9 محاولة</w:t>
      </w:r>
    </w:p>
    <w:p>
      <w:r>
        <w:t>Silk L1 requirements reference (official portals / EUR-Lex): أسهم 6 من 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4 من 4 محاولة</w:t>
      </w:r>
    </w:p>
    <w:p>
      <w:r>
        <w:t>Pew Research Center (لقطة ساكنة مقرّبة): أسهم 2 من 2 محاولة</w:t>
      </w:r>
    </w:p>
    <w:p>
      <w:r>
        <w:t>World Bank: أسهم 0 من 5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