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سِلك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سِلك — تقرير بحث عميق: تمور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أُعد بواسطة منصة سِلك لذكاء الأسواق</w:t>
      </w:r>
    </w:p>
    <w:p>
      <w:pPr>
        <w:bidi/>
        <w:jc w:val="start"/>
      </w:pPr>
      <w:r>
        <w:rPr>
          <w:rFonts w:ascii="Arial" w:hAnsi="Arial" w:cs="Arial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Arial" w:hAnsi="Arial" w:cs="Arial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إسبانيا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2026-07-16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المحتويات</w:t>
      </w:r>
    </w:p>
    <w:p>
      <w:pPr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2. ملخّص مصادر البحث</w:t>
      </w:r>
    </w:p>
    <w:p>
      <w:pPr>
        <w:bidi/>
        <w:jc w:val="start"/>
      </w:pPr>
      <w:r>
        <w:rPr>
          <w:rFonts w:ascii="Arial" w:hAnsi="Arial" w:cs="Arial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Arial" w:hAnsi="Arial" w:cs="Arial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Arial" w:hAnsi="Arial" w:cs="Arial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الحكم: مراقبة السوق</w:t>
      </w:r>
    </w:p>
    <w:p>
      <w:pPr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Arial" w:hAnsi="Arial" w:cs="Arial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Arial" w:hAnsi="Arial" w:cs="Arial"/>
          <w:rtl/>
        </w:rPr>
        <w:t>السوق: إسبانيا (ESP) — الحكم: مراقبة السوق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تدفقات التجارة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اتجاهات الطلب والموسمية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تحليل الأسعار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ثقافة المستهلك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قنوات التوزيع والاستيراد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تحليل المنافسين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تقييم المخاطر والمستجدات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الديموغرافيا والاقتصاد الكلي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الاشتراطات الجمركية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الفرص الاستراتيجية والفجوات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اللوجستيات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ناجحة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التوصية بالدخول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Arial" w:hAnsi="Arial" w:cs="Arial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Arial" w:hAnsi="Arial" w:cs="Arial"/>
          <w:rtl/>
        </w:rPr>
        <w:t>مورّدين مجزَّأ (HHI (مؤشر يقيس تركّز/احتكار السوق: فوق 2500 يعني سيطرة لاعب واحد)≈2350، لا مورّد مهيمناً) يفتح مجالاً حقيقياً لمورّد</w:t>
      </w:r>
    </w:p>
    <w:p>
      <w:pPr>
        <w:bidi/>
        <w:jc w:val="start"/>
      </w:pPr>
      <w:r>
        <w:rPr>
          <w:rFonts w:ascii="Arial" w:hAnsi="Arial" w:cs="Arial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Arial" w:hAnsi="Arial" w:cs="Arial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Arial" w:hAnsi="Arial" w:cs="Arial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Arial" w:hAnsi="Arial" w:cs="Arial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Arial" w:hAnsi="Arial" w:cs="Arial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Arial" w:hAnsi="Arial" w:cs="Arial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Arial" w:hAnsi="Arial" w:cs="Arial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Arial" w:hAnsi="Arial" w:cs="Arial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Arial" w:hAnsi="Arial" w:cs="Arial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Arial" w:hAnsi="Arial" w:cs="Arial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Arial" w:hAnsi="Arial" w:cs="Arial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Arial" w:hAnsi="Arial" w:cs="Arial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3. نظرة عامة على السوق وحجمه</w:t>
      </w:r>
    </w:p>
    <w:p>
      <w:pPr>
        <w:bidi/>
        <w:jc w:val="start"/>
      </w:pPr>
      <w:r>
        <w:rPr>
          <w:rFonts w:ascii="Arial" w:hAnsi="Arial" w:cs="Arial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Arial" w:hAnsi="Arial" w:cs="Arial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Arial" w:hAnsi="Arial" w:cs="Arial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Arial" w:hAnsi="Arial" w:cs="Arial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Arial" w:hAnsi="Arial" w:cs="Arial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Arial" w:hAnsi="Arial" w:cs="Arial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4. ديناميكيات السوق</w:t>
      </w:r>
    </w:p>
    <w:p>
      <w:pPr>
        <w:bidi/>
        <w:jc w:val="start"/>
      </w:pPr>
      <w:r>
        <w:rPr>
          <w:rFonts w:ascii="Arial" w:hAnsi="Arial" w:cs="Arial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Arial" w:hAnsi="Arial" w:cs="Arial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Arial" w:hAnsi="Arial" w:cs="Arial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Arial" w:hAnsi="Arial" w:cs="Arial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5. تحليل المستهلك والطلب</w:t>
      </w:r>
    </w:p>
    <w:p>
      <w:pPr>
        <w:bidi/>
        <w:jc w:val="start"/>
      </w:pPr>
      <w:r>
        <w:rPr>
          <w:rFonts w:ascii="Arial" w:hAnsi="Arial" w:cs="Arial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Arial" w:hAnsi="Arial" w:cs="Arial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Arial" w:hAnsi="Arial" w:cs="Arial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Arial" w:hAnsi="Arial" w:cs="Arial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Arial" w:hAnsi="Arial" w:cs="Arial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Arial" w:hAnsi="Arial" w:cs="Arial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6. المشهد التنافسي</w:t>
      </w:r>
    </w:p>
    <w:p>
      <w:pPr>
        <w:bidi/>
        <w:jc w:val="start"/>
      </w:pPr>
      <w:r>
        <w:rPr>
          <w:rFonts w:ascii="Arial" w:hAnsi="Arial" w:cs="Arial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Arial" w:hAnsi="Arial" w:cs="Arial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تونس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34%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الجزائر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22%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المغرب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18%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باقي المورّدين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اقتصادية (سوبرماركت عام)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5.80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 (رصد ويب)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متوسطة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8.90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 (رصد ويب)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 فاخرة (متجر متخصص)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13.50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EUR/كغم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Arial" w:hAnsi="Arial" w:cs="Arial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Arial" w:hAnsi="Arial" w:cs="Arial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Arial" w:hAnsi="Arial" w:cs="Arial"/>
          <w:rtl/>
        </w:rPr>
        <w:t>العام.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حلال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معيار GSO 993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8. اللوجستيات وسلسلة الإمداد</w:t>
      </w:r>
    </w:p>
    <w:p>
      <w:pPr>
        <w:bidi/>
        <w:jc w:val="start"/>
      </w:pPr>
      <w:r>
        <w:rPr>
          <w:rFonts w:ascii="Arial" w:hAnsi="Arial" w:cs="Arial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Arial" w:hAnsi="Arial" w:cs="Arial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Arial" w:hAnsi="Arial" w:cs="Arial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9. تقييم المخاطر</w:t>
      </w:r>
    </w:p>
    <w:p>
      <w:pPr>
        <w:bidi/>
        <w:jc w:val="start"/>
      </w:pPr>
      <w:r>
        <w:rPr>
          <w:rFonts w:ascii="Arial" w:hAnsi="Arial" w:cs="Arial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Arial" w:hAnsi="Arial" w:cs="Arial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Arial" w:hAnsi="Arial" w:cs="Arial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Arial" w:hAnsi="Arial" w:cs="Arial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10. التوصيات الاستراتيجية</w:t>
      </w:r>
    </w:p>
    <w:p>
      <w:pPr>
        <w:bidi/>
        <w:jc w:val="start"/>
      </w:pPr>
      <w:r>
        <w:rPr>
          <w:rFonts w:ascii="Arial" w:hAnsi="Arial" w:cs="Arial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Arial" w:hAnsi="Arial" w:cs="Arial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Arial" w:hAnsi="Arial" w:cs="Arial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Arial" w:hAnsi="Arial" w:cs="Arial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التوصية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دخول مشروط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درجة الثقة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Arial" w:hAnsi="Arial" w:cs="Arial"/>
          <w:rtl/>
        </w:rPr>
        <w:t>خارطة طريق الدخول (٩٠ يوماً)</w:t>
      </w:r>
    </w:p>
    <w:p>
      <w:pPr>
        <w:bidi/>
        <w:jc w:val="start"/>
      </w:pPr>
      <w:r>
        <w:rPr>
          <w:rFonts w:ascii="Arial" w:hAnsi="Arial" w:cs="Arial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Arial" w:hAnsi="Arial" w:cs="Arial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Arial" w:hAnsi="Arial" w:cs="Arial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Arial" w:hAnsi="Arial" w:cs="Arial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Arial" w:hAnsi="Arial" w:cs="Arial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Arial" w:hAnsi="Arial" w:cs="Arial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Arial" w:hAnsi="Arial" w:cs="Arial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Arial" w:hAnsi="Arial" w:cs="Arial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Arial" w:hAnsi="Arial" w:cs="Arial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Arial" w:hAnsi="Arial" w:cs="Arial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Arial" w:hAnsi="Arial" w:cs="Arial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Arial" w:hAnsi="Arial" w:cs="Arial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11. الملاحق</w:t>
      </w:r>
    </w:p>
    <w:p>
      <w:pPr>
        <w:bidi/>
        <w:jc w:val="start"/>
      </w:pPr>
      <w:r>
        <w:rPr>
          <w:rFonts w:ascii="Arial" w:hAnsi="Arial" w:cs="Arial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Arial" w:hAnsi="Arial" w:cs="Arial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Arial" w:hAnsi="Arial" w:cs="Arial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 Import BV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Barcelona (نموذج)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+34 93 000 0000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info@ejmar.example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ejmar.example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4.4 (76)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Halal Mayorista SL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Madrid (نموذج)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+34 91 000 0000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ventas@halalm.example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halalm.example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4.1 (41)</w:t>
            </w:r>
          </w:p>
        </w:tc>
        <w:tc>
          <w:tcPr>
            <w:tcW w:type="dxa" w:w="1337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All4Trade (مرشّح ويب)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337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مرشّح ويب غير موثَّق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إدراج النشاط في خرائط قوقل يثبت وجوده وجهة اتصاله فقط، لا أنه يستورد التمور السعودية — التحقق التجاري خطوة تالية.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[تحليل مركّب — ◐ ثانوي] نقطة ضعف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فعّل خدمة التعميق المدفوعة للتحقق من المستوردين وجهات الاتصال (Volza/Explee)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61000000.0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Google Trends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Mercadona: تمور اقتصادية 5.80€/كغم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Mercadona (رصد ويب)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Carrefour: تمور متوسطة 8.90€/كغم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Carrefour (رصد ويب)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ويب متعدد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OpenAlex + بحث ويب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بحث ويب (غير مؤكَّد)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○ غير متحقق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GDELT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0.92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0.94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47500000.0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29350.0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World Bank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تسجيل منشأة معتمدة EU 2017/625 إلزامي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EU 2017/625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تعريفة صفرية ضمن GSP+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WITS/WTO Tariff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✓ موثّق</w:t>
            </w:r>
          </w:p>
        </w:tc>
      </w:tr>
      <w:tr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مرجع الموانئ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2026-07-01</w:t>
            </w:r>
          </w:p>
        </w:tc>
        <w:tc>
          <w:tcPr>
            <w:tcW w:type="dxa" w:w="187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سِلك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