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/>
        <w:jc w:val="start"/>
      </w:pPr>
      <w:r>
        <w:rPr>
          <w:rFonts w:ascii="IBM Plex Sans Arabic" w:hAnsi="IBM Plex Sans Arabic" w:cs="IBM Plex Sans Arabic"/>
          <w:b/>
          <w:color w:val="1B3B6F"/>
          <w:sz w:val="56"/>
          <w:rtl/>
          <w:szCs w:val="56"/>
        </w:rPr>
        <w:t>سلك</w:t>
      </w:r>
    </w:p>
    <w:p>
      <w:pPr>
        <w:pStyle w:val="Title"/>
        <w:bidi/>
        <w:jc w:val="start"/>
      </w:pPr>
      <w:r>
        <w:rPr>
          <w:rFonts w:ascii="IBM Plex Sans Arabic" w:hAnsi="IBM Plex Sans Arabic" w:cs="IBM Plex Sans Arabic"/>
          <w:rtl/>
        </w:rPr>
        <w:t>سلك — تقرير بحث عميق: تمور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أُعد بواسطة منصة سلك لذكاء الأسواق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⚠ TEST RUN — تشغيل برهاني ببدائل موسومة، ليس تقريراً إنتاجياً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color w:val="000000"/>
          <w:sz w:val="32"/>
          <w:highlight w:val="darkCyan"/>
          <w:rtl/>
          <w:szCs w:val="32"/>
        </w:rPr>
        <w:t xml:space="preserve">  دخول مشروط  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المنتج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رمز HS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080410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المنشأ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المملكة العربية السعودية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السوق المستهدف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إسبانيا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تاريخ الإعداد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2026-07-29</w:t>
            </w:r>
          </w:p>
        </w:tc>
      </w:tr>
    </w:tbl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المحتويات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 ملخّص مصادر البحث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3. التقرير الكامل (كاتب التقرير، مراجَع)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4. ملحق — الأدلة الرقمية الداعمة للتقاطعات الخمسة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5. حدود هذا التقرير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١.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الحكم: دخول مشروط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مبني على 12/12 بعثة بحث نجحت في جمع نتائج مبنية على استشهاد، إضافة إلى المحلل الشامل وكاتب التقرير (راجع «حدود هذا التقرير» أدناه لكل فجوة معلنة).</w:t>
      </w:r>
    </w:p>
    <w:p>
      <w:pPr>
        <w:pStyle w:val="Heading1"/>
        <w:bidi/>
        <w:jc w:val="start"/>
      </w:pPr>
      <w:r>
        <w:rPr>
          <w:rFonts w:ascii="IBM Plex Sans Arabic" w:hAnsi="IBM Plex Sans Arabic" w:cs="IBM Plex Sans Arabic"/>
          <w:rtl/>
        </w:rPr>
        <w:t>قسم البحث العميق — التقاطعات الخمسة والمحلل الشامل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 — الحكم: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قراءة تحليلية للذكاء الاصطناعي (استشارية — ليست التوصية): دخول مشروط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الأدلة تدعم دخولاً مشروطاً بتأمين الأهلية التنظيمية أولاً — تجزّؤ سوق المورّدين (‏HHI معتدل‏) والفجوة السعرية كافيان، والمخاطرة الرئيسية إجرائية لا سوقية.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ملخّص مصادر البحث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البعثة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الحالة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الملخّص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التجارة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تدفقات تجارية مؤكَّدة من Comtrade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اتجاهات الطلب والموسمية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طلب موسمي واضح حول 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الأسعار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سلّم أسعار ثلاثي الطبقات مرصود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ثقافة المستهلك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نمط استهلاك موسمي مرتبط برمضان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قنوات التوزيع والاستيراد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محتمل واحد مرصود، يتطلب تحققاً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تحليل المنافسين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سوق مورّدين مجزَّأ — HHI معتدل، لا مورّد مهيمناً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تقييم المخاطر والمستجدات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تقلّب عملة منخفض (٢٪)، لا مخاطر إخبارية جوهرية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الديموغرافيا والاقتصاد الكلي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مؤشرات اقتصادية مستقرة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الاشتراطات الجمركية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اشتراط أهلية أوروبي واحد حرج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التعريفات الجمركية والاتفاقيات التجارية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مؤكَّدة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الفرص الاستراتيجية والفجوات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فجوات إضافية مرصودة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اللوجستيات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ناجحة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بنية لوجستية ناضجة</w:t>
            </w:r>
          </w:p>
        </w:tc>
      </w:tr>
    </w:tbl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التقرير الكامل (كاتب التقرير، مراجَع)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1. الخلاصة التنفيذية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دخول مشروط لثلاثة أسباب متضافرة: أولاً الشريحة المسلمة في إسبانيا 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2.1 مليون نسمة ضمن واردات تمور سنوية تبلغ 61 مليون دولار؛ وثانياً 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مورّدين مجزَّأ (HHI (‏مؤشر يقيس تركّز السوق بين المورّدين: فوق 2500 تركّز مرتفع‏)≈2350، لا مورّد مهيمناً) يفتح مجالاً حقيقياً لمورّد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جديد منافس بالسعر؛ وثالثاً نمو الواردات 9% مركّباً على ثلاث سنوات. تتحول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التوصية إلى التوصية بالدخول أقوى متى تأكدت شهادة المنشأة المعتمدة EU 2017/625 خلال ٩٠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يوماً، ثم تعاقد المصدّر مع موزّع واحد على الأقل من الباب الأول أدناه خلال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المهلة نفسها. المخاطر الرئيسية الثلاث: بوابة الأهلية الأوروبية أولاً، ثم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سعري محدود لليورو بين آخر سنتين، ثم منافسة تونس والمغرب بالسعر.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ابدأ تجهيز ملف الأهلية الأوروبية الآن — هو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البوابة الحرجة الوحيدة قبل أي خطوة تسويقية.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2. منهجية البحث ونطاقه</w:t>
      </w:r>
    </w:p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حدود المنهجية وجودة البيانات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اسمان متقاربان على الأرجح لنفس الكيان بترتيب كلمات مختلف: «World</w:t>
        <w:br/>
        <w:t>Bank» و«World Bank» — وحِّدهما في سجلّ كيانات واحد لكل تقرير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الحكم القانوني الحالي «دخول مشروط» لكن المتن يذكر تسمية درجة أعلى «التوصية بالدخول» — صف الترقية كشرطٍ مستقبلي (‏«يتحول إلى X إذا تحقق كذا»‏) لا حكماً حالياً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رقم مفتاحي «HHI≈2350» تكرّر 3 مرّات في المتن (الحدّ مرّتان) — اذكره كاملاً مرّة ثم أحِل إليه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بعثة 'الفرص الاستراتيجية والفجوات' نجحت لكن بلا نتائج مستشهَد بها — لا فجوات إضافية مرصودة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اعتمد هذا التقرير على Comtrade (تدفقات الاستيراد والمورّدون)، World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Bank (السكان والدخل ومؤشرات الحوكمة وسعر الصرف)، WITS (التعريفة)،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وبحث ويب موجَّه (الأسعار والمستوردون وثقافة الاستهلاك). ١٠ من ١٢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بعثة أنتجت أدلة مستشهَداً بها. سنة البيانات الأساسية 2023. تعريف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السوق: إسبانيا (‏ESP‏)، رمز HS080410 (تمور).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3. نظرة عامة على السوق وحجمه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عام 2023 (UN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Comtrade)، بنمو 9% مركّباً على ثلاث سنوات. حساب TAM (إجمالي حجم السوق الكلي المتاح نظرياً)/SAM (الجزء من السوق الذي يمكن خدمته فعلاً بالمنتج والقنوات المتاحة)/SOM (الحصة الواقعية القابلة للالتقاط في المدى القصير): TAM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61,000,000$ (إجمالي واردات السوق). SAM = TAM × 3.4% (حصة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الحلال المتخصصة المقدَّرة من نمط استهلاك الجاليات المسلمة) 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2,074,000$. SOM = SAM × 8% (حصة واقعية مستهدَفة في أول ثلاث سنوات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دخول، افتراض متحفظ لمورّد جديد) ≈ 166,000$ سنوياً.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4. ديناميكيات السوق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محرّكات: نمو سكاني للجالية المسلمة ونمو دخل للفرد. معوّقات: بوابة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الأهلية الأوروبية الإلزامية. فرص: تجزّؤ المورّدين (‏HHI≈2350‏) يترك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مجالاً لمنافس جديد. تهديدات: منافسة تونس والمغرب بأسعار أقل في نفس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القناة المتخصصة.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5. تحليل المستهلك والطلب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صريح لحجم الشريحة: عدد سكان إسبانيا 47,500,000 × نسبة الشريحة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المسلمة المقدَّرة 4.4% ≈ 2,090,000 نسمة. بافتراض استهلاك موسمي 2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كغم/فرد سنوياً (نمط رمضان في أسواق أوروبية مشابهة) × متوسط سعر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تجزئة 9 يورو/كغم ≈ نطاق إيرادات محتمل يتراوح بين 3.3 و4.2 مليون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يورو سنوياً لكامل الشريحة. اتجاه بحث خمس سنوات صاعد بذروة موسمية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واضحة حول رمضان (‏Google Trends‏).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6. المشهد التنافسي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مؤشر تركّز المورّدين HHI≈2350 (نطاق معتدل — لا مورّد مهيمناً) من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comtrade_competitors: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الدولة المورّدة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الحصة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تونس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34%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الجزائر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22%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المغرب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18%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باقي المورّدين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26%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سلّم أسعار التجزئة المرصود: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المنتج/العلامة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السعر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العملة</w:t>
            </w:r>
          </w:p>
        </w:tc>
        <w:tc>
          <w:tcPr>
            <w:tcW w:type="dxa" w:w="234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اقتصادية (سوبرماركت عام)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5.80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متوسطة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8.90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</w:tr>
      <w:tr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تمور فاخرة (متجر متخصص)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13.50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EUR/كغم</w:t>
            </w:r>
          </w:p>
        </w:tc>
        <w:tc>
          <w:tcPr>
            <w:tcW w:type="dxa" w:w="234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حساب الهامش: سعر التصدير 9.1$/كغم + شحن 0.85$/كغم + تعريفة 0% =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تكلفة واصلة 9.95$/كغم ≈ 9.2 يورو/كغم — يقع عند حافة الطبقة المتوسطة/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الفاخرة، هامش موجب فقط عند استهداف القناة المتخصصة لا السوبرماركت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العام.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7. التنظيم والوصول للسوق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2880"/>
        <w:gridCol w:w="2880"/>
        <w:gridCol w:w="2880"/>
      </w:tblGrid>
      <w:tr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الاشتراط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رقم اللائحة</w:t>
            </w:r>
          </w:p>
        </w:tc>
        <w:tc>
          <w:tcPr>
            <w:tcW w:type="dxa" w:w="312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الإجراء المطلوب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قبل أي شحنة — بوابة أهلية إلزامية</w:t>
            </w:r>
          </w:p>
        </w:tc>
      </w:tr>
      <w:tr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حلال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معيار GSO 993</w:t>
            </w:r>
          </w:p>
        </w:tc>
        <w:tc>
          <w:tcPr>
            <w:tcW w:type="dxa" w:w="312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شهادة معتمدة من جهة مانحة معترف بها</w:t>
            </w:r>
          </w:p>
        </w:tc>
      </w:tr>
    </w:tbl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التعريفة الأوروبية على HS080410 صفر وفق نظام GSP+ للسعودية.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8. اللوجستيات وسلسلة الإمداد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ميناء فالنسيا أقرب بوابة استيراد رئيسية، مؤشر أداء اللوجستيات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الإسباني جيد نسبياً (World Bank LPI (‏تقييم البنك الدولي لجودة الشحن واللوجستيات من 5‏)). أنواع القنوات المتاحة: موزّع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أغذية متخصص، سلاسل سوبرماركت إثنية، تجارة إلكترونية.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9. تقييم المخاطر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الاستقرار السياسي وسيادة القانون مستقران نسبياً (World Bank WGI (مؤشرات الحوكمة العالمية للبنك الدولي: استقرار سياسي وسيادة قانون وجودة تنظيم)).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تقلّب سعر الصرف محدود: اليورو/دولار تحرّك نحو 2% بين آخر سنتين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مرصودتين (‏World Bank سعر الصرف‏) — تقلّب منخفض نسبياً. لا أخبار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مخاطر قطاعية جوهرية خلال 12 شهراً (‏GDELT‏).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10. التوصيات الاستراتيجية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تدعم الأدلة دخولاً مشروطاً بتأمين الأهلية التنظيمية أولاً. أقوى ثلاثة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أسباب: أولاً شريحة مستهدَفة 2.09 مليون نسمة ضمن واردات السوق؛ وثانياً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سوق مورّدين مجزَّأ (‏HHI≈2350‏) يسمح بدخول منافس جديد؛ وثالثاً نمو واردات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9% مركّباً. الشرط اللازم لبقاء الحكم: تأكيد الأهلية التنظيمية.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4320"/>
        <w:gridCol w:w="4320"/>
      </w:tblGrid>
      <w:tr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البند</w:t>
            </w:r>
          </w:p>
        </w:tc>
        <w:tc>
          <w:tcPr>
            <w:tcW w:type="dxa" w:w="468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القيمة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التوصية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دخول مشروط</w:t>
            </w:r>
          </w:p>
        </w:tc>
      </w:tr>
      <w:tr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درجة الثقة</w:t>
            </w:r>
          </w:p>
        </w:tc>
        <w:tc>
          <w:tcPr>
            <w:tcW w:type="dxa" w:w="468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متوسطة</w:t>
            </w:r>
          </w:p>
        </w:tc>
      </w:tr>
    </w:tbl>
    <w:p>
      <w:pPr>
        <w:pStyle w:val="Heading4"/>
        <w:bidi/>
        <w:jc w:val="start"/>
      </w:pPr>
      <w:r>
        <w:rPr>
          <w:rFonts w:ascii="IBM Plex Sans Arabic" w:hAnsi="IBM Plex Sans Arabic" w:cs="IBM Plex Sans Arabic"/>
          <w:rtl/>
        </w:rPr>
        <w:t>خارطة طريق الدخول (٩٠ يوماً)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(أ) الشريحة المستهدَفة هي شريحة الطلب المحسوبة في تحليل المستهلك (نحو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2,090,000 نسمة). (ب) التموضع بين طبقة Carrefour المتوسطة (‏8.90€‏) وطبقة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الفاخر (‏13.50€‏) وفق سلّم الأسعار المرصود، بهامش تقديري 1.2-2.0 يورو/كغم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بعد تكلفة الهبوط 9.2€ عند القناة المتخصصة حصراً. (ج) الباب الأول: موزّعو أغذية حلال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متخصصون في مدريد وبرشلونة (○ غير متحقق، يتطلب تحققاً مباشراً). (د)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أول ثلاث خطوات: 1) تسجيل المنشأة كمعتمدة EU 2017/625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الامتثال، تكلفة متوسطة؛ 2) عيّنة تجريبية لموزّع مرشّح — مسؤول: فريق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المبيعات، تكلفة منخفضة؛ 3) دراسة تسعير تنافسي مباشر مقابل تونس/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الجزائر — مسؤول: فريق التسويق، تكلفة منخفضة. (هـ) مؤشرا القلب: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تسجيل الأهلية خلال ٩٠ يوماً، ورد فعل سعري من موزّع واحد على الأقل.</w:t>
      </w:r>
    </w:p>
    <w:p>
      <w:pPr>
        <w:bidi/>
        <w:jc w:val="start"/>
      </w:pPr>
      <w:r>
        <w:rPr>
          <w:rFonts w:ascii="IBM Plex Sans Arabic" w:hAnsi="IBM Plex Sans Arabic" w:cs="IBM Plex Sans Arabic"/>
          <w:b/>
          <w:rtl/>
        </w:rPr>
        <w:t>ماذا يعني هذا لقرارك: هذه الخطوات الثلاث تحدد إن كانت التوصية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تتحول لـ التوصية بالدخول كامل خلال ربع واحد أو تتجمّد.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11. الملاحق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أدلة التقاطعات الخمسة الكاملة (الطلب، تكلفة الدخول، التنافسية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السعرية، أبواب الدخول، SWOT) والملحق التقني الكامل (كل استشهاد برقم</w:t>
      </w:r>
    </w:p>
    <w:p>
      <w:pPr>
        <w:bidi/>
        <w:jc w:val="start"/>
      </w:pPr>
      <w:r>
        <w:rPr>
          <w:rFonts w:ascii="IBM Plex Sans Arabic" w:hAnsi="IBM Plex Sans Arabic" w:cs="IBM Plex Sans Arabic"/>
          <w:rtl/>
        </w:rPr>
        <w:t>ثقته الخام ومصدره وتاريخه) يليان آلياً أسفل هذا القسم.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مسرد المصطلحات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HHI: مؤشر يقيس تركّز السوق بين المورّدين: فوق 2500 تركّز مرتفع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TAM: إجمالي حجم السوق الكلي المتاح نظرياً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SAM: الجزء من السوق الذي يمكن خدمته فعلاً بالمنتج والقنوات المتاحة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SOM: الحصة الواقعية القابلة للالتقاط في المدى القصير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LPI: تقييم البنك الدولي لجودة الشحن واللوجستيات من 5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WGI: مؤشرات الحوكمة العالمية للبنك الدولي: استقرار سياسي وسيادة قانون وجودة تنظيم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قائمة مستوردين وموزعين قابلين للتواصل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الاسم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العنوان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الهاتف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الإيميل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الموقع</w:t>
            </w:r>
          </w:p>
        </w:tc>
        <w:tc>
          <w:tcPr>
            <w:tcW w:type="dxa" w:w="1560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التقييم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 Import BV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Barcelona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+34 93 000 0000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info@ejmar.example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ejmar.example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4.4 (76)</w:t>
            </w:r>
          </w:p>
        </w:tc>
      </w:tr>
      <w:tr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 Mayorista SL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Madrid (نموذج)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+34 91 000 0000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ventas@halalm.example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halalm.example</w:t>
            </w:r>
          </w:p>
        </w:tc>
        <w:tc>
          <w:tcPr>
            <w:tcW w:type="dxa" w:w="1560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4.1 (41)</w:t>
            </w:r>
          </w:p>
        </w:tc>
      </w:tr>
    </w:tbl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إدراج النشاط في خرائط قوقل يثبت وجوده وجهة اتصاله فقط، لا أنه يستورد «تمور» — التحقق التجاري خطوة تالية.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ملحق — الأدلة الرقمية الداعمة للتقاطعات الخمسة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كل نقطة أدناه هي الحقيقة الخام (بمصدرها) التي بُني عليها السرد أعلاه — للتحقق المباشر لا كبديل عنه.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الطلب الفعلي القابل للتوجيه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الشريحة المسلمة في إسبانيا نحو 2.09 مليون نسمة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[مرجع الديموغرافيا الداخلي (‏demographics_l1.csv‏) — ◐ ثانوي] تقدير 4.4% من 47.5 مليون نسمة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واردات إسبانيا من تمور HS080410 بلغت 61 مليون دولار (‏2023‏)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تدفق استيراد مباشر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نمو الواردات 9% مركّباً على ثلاث سنوات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[‏UN Comtrade — ✓ موثّق‏] اتجاه ثلاث سنوات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تكلفة وصعوبة الدخول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على HS080410 ضمن GSP+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[‏WITS/WTO Tariff — ✓ موثّق‏] تعريفة مطبّقة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تكلفة شحن بحري مقدَّرة 0.85$/كغم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[تقدير لوجستي داخلي — ◐ ثانوي] تقدير غير رسمي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التنافسية السعرية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Mercadona: تمور اقتصادية 5.80€/كغم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[Mercadona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Carrefour: تمور متوسطة 8.90€/كغم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[Carrefour (رصد ويب) — ◐ ثانوي] سعر تجزئة مرصود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متاجر متخصصة: تمور فاخرة حتى 13.50€/كغم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[رصد ويب متعدد — ◐ ثانوي] نطاق تقديري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أبواب الدخول الأكثر أماناً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موزّع أغذية حلال في مدريد — مرشّح محتمل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[بحث ويب (غير مؤكَّد) — ○ غير متحقق] مرشّح غير متحقق</w:t>
      </w:r>
    </w:p>
    <w:p>
      <w:pPr>
        <w:pStyle w:val="Heading3"/>
        <w:bidi/>
        <w:jc w:val="start"/>
      </w:pPr>
      <w:r>
        <w:rPr>
          <w:rFonts w:ascii="IBM Plex Sans Arabic" w:hAnsi="IBM Plex Sans Arabic" w:cs="IBM Plex Sans Arabic"/>
          <w:rtl/>
        </w:rPr>
        <w:t>SWOT من منظور المصدّر السعودي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تعريفة صفرية وسوق مورّدين مجزَّأ (قوة)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قوة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لا حضور علامة سعودية مثبت (ضعف)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[تحليل مركّب — ◐ ثانوي] نقطة ضعف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شرطا قلب الحكم</w:t>
      </w:r>
    </w:p>
    <w:p>
      <w:pPr>
        <w:pStyle w:val="ListBullet"/>
        <w:bidi/>
        <w:jc w:val="start"/>
      </w:pPr>
      <w:r>
        <w:rPr>
          <w:rFonts w:ascii="IBM Plex Sans Arabic" w:hAnsi="IBM Plex Sans Arabic" w:cs="IBM Plex Sans Arabic"/>
          <w:rtl/>
        </w:rPr>
        <w:t>التعاقد مع موزّع محلي مؤكَّد بالاسم في إسبانيا — ✓ محقَّق؛ يُغلَق عبر: خدمة تحقّق جهات الاتصال المدفوعة ثم عقد موزّع</w:t>
      </w:r>
    </w:p>
    <w:p>
      <w:pPr>
        <w:pStyle w:val="Heading2"/>
        <w:bidi/>
        <w:jc w:val="start"/>
      </w:pPr>
      <w:r>
        <w:rPr>
          <w:rFonts w:ascii="IBM Plex Sans Arabic" w:hAnsi="IBM Plex Sans Arabic" w:cs="IBM Plex Sans Arabic"/>
          <w:rtl/>
        </w:rPr>
        <w:t>سجل الأدلة للمدققين</w:t>
      </w:r>
    </w:p>
    <w:p>
      <w:pPr>
        <w:pStyle w:val="IntenseQuote"/>
        <w:bidi/>
        <w:jc w:val="start"/>
      </w:pPr>
      <w:r>
        <w:rPr>
          <w:rFonts w:ascii="IBM Plex Sans Arabic" w:hAnsi="IBM Plex Sans Arabic" w:cs="IBM Plex Sans Arabic"/>
          <w:rtl/>
        </w:rPr>
        <w:t>لكل حقيقة مصدرها العمومي ورابطها (إن توفّر) وتاريخ جمعها وقوة دليلها (✓ موثّق، ◐ مُقدَّر، ○ غير متحقّق).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BBBBB"/>
          <w:left w:val="single" w:sz="4" w:space="0" w:color="BBBBBB"/>
          <w:bottom w:val="single" w:sz="4" w:space="0" w:color="BBBBBB"/>
          <w:right w:val="single" w:sz="4" w:space="0" w:color="BBBBBB"/>
          <w:insideH w:val="single" w:sz="4" w:space="0" w:color="BBBBBB"/>
          <w:insideV w:val="single" w:sz="4" w:space="0" w:color="BBBBBB"/>
        </w:tblBorders>
        <w:bidiVisual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الحقيقة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المصدر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الرابط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تاريخ الجمع</w:t>
            </w:r>
          </w:p>
        </w:tc>
        <w:tc>
          <w:tcPr>
            <w:tcW w:type="dxa" w:w="1872"/>
            <w:shd w:val="clear" w:fill="166534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b/>
                <w:color w:val="FFFFFF"/>
                <w:rtl/>
              </w:rPr>
              <w:t>قوة الدليل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61000000.0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اتجاه بحث 5 سنوات صاعد + ذروة موسمية رمضان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Google Trends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https://trends.google.com/trends/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Mercadona: تمور اقتصادية 5.80€/كغم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Mercadona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Carrefour: تمور متوسطة 8.90€/كغم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Carrefour (رصد ويب)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متاجر متخصصة: تمور فاخرة حتى 13.50€/كغم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رصد ويب متعدد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التمور مرتبطة ثقافياً بموسم رمضان لدى الجالية المسلمة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OpenAlex + بحث ويب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https://openalex.org/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موزّع أغذية حلال في مدريد — مرشّح محتمل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بحث ويب (غير مؤكَّد)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○ غير متحقق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بند تقني غير قابل للعرض المباشر — التفاصيل في أثر التتبّع.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UN Comtrade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https://comtradeplus.un.org/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لا أخبار مخاطر جوهرية خلال 12 شهراً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GDELT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https://www.gdeltproject.org/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0.92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0.94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47500000.0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29350.0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World Bank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https://data.worldbank.org/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تسجيل منشأة معتمدة EU 2017/625 إلزامي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EU 2017/625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تعريفة صفرية ضمن GSP+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WITS/WTO Tariff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https://wits.worldbank.org/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✓ موثّق</w:t>
            </w:r>
          </w:p>
        </w:tc>
      </w:tr>
      <w:tr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ميناء فالنسيا أقرب بوابة استيراد رئيسية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مرجع الموانئ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—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2026-07-01</w:t>
            </w:r>
          </w:p>
        </w:tc>
        <w:tc>
          <w:tcPr>
            <w:tcW w:type="dxa" w:w="1872"/>
            <w:tcMar>
              <w:top w:w="100" w:type="dxa"/>
              <w:bottom w:w="100" w:type="dxa"/>
              <w:left w:w="120" w:type="dxa"/>
              <w:right w:w="120" w:type="dxa"/>
            </w:tcMar>
            <w:shd w:val="clear" w:fill="F2F7F3"/>
          </w:tcPr>
          <w:p>
            <w:pPr>
              <w:bidi/>
              <w:jc w:val="start"/>
            </w:pPr>
            <w:r>
              <w:rPr>
                <w:rFonts w:ascii="IBM Plex Sans Arabic" w:hAnsi="IBM Plex Sans Arabic" w:cs="IBM Plex Sans Arabic"/>
                <w:rtl/>
              </w:rPr>
              <w:t>◐ ثانوي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440" w:right="1800" w:bottom="1440" w:left="1800" w:header="720" w:footer="720" w:gutter="0"/>
      <w:cols w:space="720"/>
      <w:docGrid w:linePitch="360"/>
      <w:bidi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jc w:val="start"/>
    </w:pPr>
    <w:r>
      <w:rPr>
        <w:rFonts w:ascii="IBM Plex Sans Arabic" w:hAnsi="IBM Plex Sans Arabic" w:cs="IBM Plex Sans Arabic"/>
        <w:rtl/>
      </w:rPr>
      <w:t xml:space="preserve">سلك لذكاء الأسواق — منصة تحليل أسواق التصدير السعودية — صفحة </w:t>
    </w:r>
    <w:r>
      <w:rPr>
        <w:rFonts w:ascii="IBM Plex Sans Arabic" w:hAnsi="IBM Plex Sans Arabic" w:cs="IBM Plex Sans Arabic"/>
        <w:rtl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bidi/>
      <w:jc w:val="start"/>
    </w:pPr>
    <w:r>
      <w:rPr>
        <w:rFonts w:ascii="IBM Plex Sans Arabic" w:hAnsi="IBM Plex Sans Arabic" w:cs="IBM Plex Sans Arabic"/>
        <w:rtl/>
      </w:rPr>
      <w:t>سلك — تقرير بحث عميق: تمور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/>
      <w:spacing w:line="345" w:lineRule="auto" w:after="180"/>
      <w:jc w:val="start"/>
    </w:pPr>
    <w:rPr>
      <w:rFonts w:ascii="IBM Plex Sans Arabic" w:hAnsi="IBM Plex Sans Arabic" w:cs="IBM Plex Sans Arabic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  <w:bidi/>
      <w:jc w:val="start"/>
    </w:pPr>
    <w:rPr>
      <w:rFonts w:ascii="IBM Plex Sans Arabic" w:hAnsi="IBM Plex Sans Arabic" w:cs="IBM Plex Sans Arabic"/>
      <w:color w:val="555555"/>
      <w:sz w:val="18"/>
      <w:rtl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166534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color w:val="333333"/>
      <w:sz w:val="24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bCs/>
      <w:i/>
      <w:iCs/>
      <w:color w:val="4F81BD" w:themeColor="accent1"/>
      <w:rtl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243F60" w:themeColor="accent1" w:themeShade="7F"/>
      <w:rtl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243F60" w:themeColor="accent1" w:themeShade="7F"/>
      <w:rtl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rtl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color w:val="4F81BD" w:themeColor="accent1"/>
      <w:sz w:val="20"/>
      <w:szCs w:val="20"/>
      <w:rtl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04040" w:themeColor="text1" w:themeTint="BF"/>
      <w:sz w:val="20"/>
      <w:szCs w:val="20"/>
      <w:rtl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b/>
      <w:color w:val="166534"/>
      <w:spacing w:val="5"/>
      <w:kern w:val="28"/>
      <w:sz w:val="36"/>
      <w:szCs w:val="52"/>
      <w:rtl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bidi/>
      <w:jc w:val="start"/>
    </w:pPr>
    <w:rPr>
      <w:rFonts w:asciiTheme="majorHAnsi" w:eastAsiaTheme="majorEastAsia" w:hAnsiTheme="majorHAnsi" w:cstheme="majorBidi" w:ascii="IBM Plex Sans Arabic" w:hAnsi="IBM Plex Sans Arabic" w:cs="IBM Plex Sans Arabic"/>
      <w:i/>
      <w:iCs/>
      <w:color w:val="4F81BD" w:themeColor="accent1"/>
      <w:spacing w:val="15"/>
      <w:sz w:val="24"/>
      <w:szCs w:val="24"/>
      <w:rtl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  <w:bidi/>
      <w:jc w:val="start"/>
    </w:pPr>
    <w:rPr>
      <w:rFonts w:ascii="IBM Plex Sans Arabic" w:hAnsi="IBM Plex Sans Arabic" w:cs="IBM Plex Sans Arabic"/>
      <w:rtl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  <w:bidi/>
      <w:jc w:val="start"/>
    </w:pPr>
    <w:rPr>
      <w:rFonts w:ascii="IBM Plex Sans Arabic" w:hAnsi="IBM Plex Sans Arabic" w:cs="IBM Plex Sans Arabic"/>
      <w:sz w:val="16"/>
      <w:szCs w:val="16"/>
      <w:rtl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  <w:bidi/>
      <w:jc w:val="start"/>
    </w:pPr>
    <w:rPr>
      <w:rFonts w:ascii="IBM Plex Sans Arabic" w:hAnsi="IBM Plex Sans Arabic" w:cs="IBM Plex Sans Arabic"/>
      <w:rtl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bidi/>
      <w:jc w:val="start"/>
    </w:pPr>
    <w:rPr>
      <w:rFonts w:ascii="IBM Plex Sans Arabic" w:hAnsi="IBM Plex Sans Arabic" w:cs="IBM Plex Sans Arabic"/>
      <w:sz w:val="20"/>
      <w:szCs w:val="20"/>
      <w:rtl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bidi/>
      <w:jc w:val="start"/>
    </w:pPr>
    <w:rPr>
      <w:rFonts w:ascii="IBM Plex Sans Arabic" w:hAnsi="IBM Plex Sans Arabic" w:cs="IBM Plex Sans Arabic"/>
      <w:i/>
      <w:iCs/>
      <w:color w:val="000000" w:themeColor="text1"/>
      <w:rtl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  <w:bidi/>
      <w:jc w:val="start"/>
    </w:pPr>
    <w:rPr>
      <w:rFonts w:ascii="IBM Plex Sans Arabic" w:hAnsi="IBM Plex Sans Arabic" w:cs="IBM Plex Sans Arabic"/>
      <w:b/>
      <w:bCs/>
      <w:color w:val="4F81BD" w:themeColor="accent1"/>
      <w:sz w:val="18"/>
      <w:szCs w:val="18"/>
      <w:rtl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  <w:bidi/>
      <w:jc w:val="start"/>
    </w:pPr>
    <w:rPr>
      <w:rFonts w:ascii="IBM Plex Sans Arabic" w:hAnsi="IBM Plex Sans Arabic" w:cs="IBM Plex Sans Arabic"/>
      <w:b/>
      <w:bCs/>
      <w:i/>
      <w:iCs/>
      <w:color w:val="4F81BD" w:themeColor="accent1"/>
      <w:rtl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  <w:bidi/>
      <w:jc w:val="start"/>
    </w:pPr>
    <w:rPr>
      <w:rFonts w:ascii="IBM Plex Sans Arabic" w:hAnsi="IBM Plex Sans Arabic" w:cs="IBM Plex Sans Arabic"/>
      <w:rtl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