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jc w:val="start"/>
      </w:pPr>
      <w:r>
        <w:rPr>
          <w:rFonts w:ascii="IBM Plex Sans Arabic" w:hAnsi="IBM Plex Sans Arabic" w:cs="IBM Plex Sans Arabic"/>
          <w:b/>
          <w:color w:val="1B3B6F"/>
          <w:sz w:val="56"/>
          <w:rtl/>
          <w:szCs w:val="56"/>
        </w:rPr>
        <w:t>سلك</w:t>
      </w:r>
    </w:p>
    <w:p>
      <w:pPr>
        <w:pStyle w:val="Title"/>
        <w:bidi/>
        <w:jc w:val="start"/>
      </w:pPr>
      <w:r>
        <w:rPr>
          <w:rFonts w:ascii="IBM Plex Sans Arabic" w:hAnsi="IBM Plex Sans Arabic" w:cs="IBM Plex Sans Arabic"/>
          <w:rtl/>
        </w:rPr>
        <w:t>دراسة سوق تصديرية: تمور</w:t>
      </w:r>
    </w:p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أُعدّت بواسطة منصة سلك لذكاء الأسواق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⚠ نموذج توضيحي ببيانات موسومة — ليس تقريراً إنتاجياً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color w:val="000000"/>
          <w:sz w:val="32"/>
          <w:highlight w:val="darkCyan"/>
          <w:rtl/>
          <w:szCs w:val="32"/>
        </w:rPr>
        <w:t xml:space="preserve">  دخول مشروط  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البند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المنتج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تمور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رمز HS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080410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بلد المنشأ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المملكة العربية السعودية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المستهدف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هولندا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تاريخ الإعداد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2026-07-28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القرار وأساسه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التوصية: دخول مشروط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الأدلة تدعم دخولاً مشروطاً بتأمين الأهلية التنظيمية أولاً — تركّز سوق المورّدين المعتدل والفجوة السعرية كافيان، والمخاطرة الرئيسية إجرائية لا سوقية.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التوصية دخول مشروط، وتستند إلى ثلاثة أسباب: الأول أن الجالية المسلمة في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هولندا تبلغ نحو 1.0 مليون نسمة ضمن سوق يستورد تمراً بقيمة 38 مليون دولار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سنوياً؛ والثاني أن صفّ المورّدين معتدل التركّز (HHI (‏مؤشر يقيس تركّز السوق بين المورّدين: فوق 2500 تركّز مرتفع‏)≈2100) فلا يهيمن عليه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طرف واحد، وهو ما يفتح باباً حقيقياً لمورّد جديد ينافس بالسعر؛ والثالث أن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واردات المنتج تنمو بنسبة 7% مركّباً على ثلاث سنوات. وتتحوّل هذه التوصية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إلى دخول كامل متى تأكّدت شهادة المنشأة المعتمدة EU 2017/625 خلال 90 يوماً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وتم التعاقد مع موزّع واحد على الأقل من الباب الأول المقترح لاحقاً.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ابدأ تجهيز ملف الأهلية الأوروبية الآن — فهو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البوابة الحرجة الوحيدة قبل أيّ خطوة تسويقية.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يقوم الحكم على دخول مشروط، وقد فُصّلت أسبابه الثلاثة في الخلاصة التنفيذية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والمطلوب هنا الانتقالُ منها إلى الشرط الحاسم لبقاء الحكم قائماً، وهو تأكيد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التنظيمية خلال المهلة. وما يحوّل التوصية إلى دخول كامل هو تعاقدٌ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مبكّر مع موزّع متخصص يثبت استجابة السوق سعرياً.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العمود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الحكم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دخول مشروط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التوثيق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متوسطة (‏66%‏)</w:t>
            </w:r>
          </w:p>
        </w:tc>
      </w:tr>
    </w:tbl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السوق بالأرقام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بلغت واردات هولندا من تمور HS080410 نحو 38 مليون دولار عام 2023 (UN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Comtrade)، بنموّ مركّب قدره 7% على ثلاث سنوات يفوق متوسط نموّ واردات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الاتحاد الأوروبي لهذه الفئة. ويوضّح الجدول أدناه حجم الفرصة القابلة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للاستهداف فعلياً بعد ترشيح السوق الكلي إلى الشريحة المتخصصة: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160"/>
        <w:gridCol w:w="2160"/>
        <w:gridCol w:w="2160"/>
        <w:gridCol w:w="2160"/>
      </w:tblGrid>
      <w:tr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المستوى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طريقة الحساب</w:t>
            </w:r>
          </w:p>
        </w:tc>
        <w:tc>
          <w:tcPr>
            <w:tcW w:type="dxa" w:w="234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الافتراض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الكلي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38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إجمالي واردات السوق (‏UN Comtrade‏)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الشريحة المتاحة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1.4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السوق الكلي × 3.6%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الشريحة الحلال المتخصصة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الهدف الواقعي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0.11 مليون دولار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الشريحة × 8%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حصة أول ثلاث سنوات لمورّد جديد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وعليه فإن حجم الهدف الواقعي يبرّر شحنة تجارية بحجم حقيقي لا اختباراً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مصغّراً، ويضع سقفاً واقعياً لتوقّعات الإيراد في السنة الأولى.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يدفع السوقَ نموُّ الجالية المسلمة ونضجُ قنوات التوزيع، بينما يظلّ المعوّق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الأبرز بوابةَ الأهلية الأوروبية الإلزامية. غير أنّ الفرصة الحقيقية تكمن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في تجزّؤ صفّ المورّدين الذي يترك مجالاً لمنافس جديد، ومن ثمّ ترجّح كفّة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الدخول لمن يملك ميزة سعرية أو تنظيمية. في المقابل، يبقى التهديد الأوضح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منافسةَ تونس والمغرب بأسعار أدنى في القناة المتخصصة نفسها، وهو ما يوجّه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قراركم نحو التموضع النوعي لا المنافسة على السعر وحده.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يقوم تقدير حجم الشريحة على الأرقام التالية: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المتغيّر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القيمة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سكان هولندا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17,800,000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نسبة الشريحة المسلمة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5.6%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حجم الشريحة الناتج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1,000,000 نسمة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ويظهر اتجاه البحث على مدى خمس سنوات صاعداً بذروة موسمية واضحة حول رمضان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(‏Google Trends‏). ومن ثمّ فإنّ الطلب موسميّ الطابع يتركّز في نافذة تسويقية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محدّدة، وهو ما يرجّح توجيه الاستثمار التسويقي للقناة الحلال المتخصصة قبيل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موسم رمضان تحديداً بدل حملة عامة ممتدّة.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المنافسة والتسعير والهامش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المنتجات المنافسة وأسعارها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يعرض الجدول أدناه المنتجات المنافسة المرصودة في متاجر السوق نفسها، محسوبةً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أسعارها بسعر الكيلوغرام الواحد بعملة الرصد الفعلية (لا تحويل عملةٍ ولا وعدٌ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بتحويلٍ لم يُجرَ)، مع متجرها وتاريخ رصدها: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المنتج/العلامة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المنشأ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العبوة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سعر التجزئة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السعر/كجم (بعملة الرصد)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المتجر وتاريخ الرصد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تمر دقلة نور اقتصادي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1كغ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5.50€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6.0$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Albert Heijn · 2026-07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تمر مجهول متوسط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1كغ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9.20€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10.0$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Jumbo · 2026-07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تمر فاخر متخصص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500غ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7.00€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15.3$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متجر حلال متخصص · 2026-07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متوسط سعر الاستيراد الرسمي (‏UN Comtrade‏)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مزيج شحنات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—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4.2$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UN Comtrade (متوسط)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وتكشف هذه المنتجات أن القناة العامة تتركّز في نطاق 6-10 دولار للكيلوغرام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بينما تحتفظ القناة المتخصصة بهامش سعري أعلى — وهو ما يؤطّر قرار التموضع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لاحقاً.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ويبلغ مؤشر تركّز المورّدين HHI نحو 2100 (نطاق معتدل، لا مورّد مهيمناً) وفق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السجلّات الرسمية، بالتوزيع التالي: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4320"/>
        <w:gridCol w:w="4320"/>
      </w:tblGrid>
      <w:tr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الدولة المورّدة</w:t>
            </w:r>
          </w:p>
        </w:tc>
        <w:tc>
          <w:tcPr>
            <w:tcW w:type="dxa" w:w="468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الحصة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تونس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31%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المغرب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19%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الجزائر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14%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باقي المورّدين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36%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وباحتساب الهامش، فإنّ سعر تصدير قدره 9.0$/كغم مضافاً إليه شحن 0.80$/كغم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وتعريفة صفرية يعطي تكلفةً واصلةً قدرها 9.8$/كغم ≈ 9.1 يورو/كغم — أي عند حافة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الطبقة المتوسطة، بهامش موجب فقط عند استهداف القناة المتخصصة لا السوبرماركت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العام. وعليه فإنّ الخطوة المنطقية أمامكم استهدافُ القناة المتخصصة والمتاجر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 أولاً، حيث يبقى الهامش قابلاً للدفاع عنه. ومن حيث الموقع السعري، يقع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سعرك المستهدف (‏9.0$/كغم‏) ضمن أسعار المنافسين المرصودة عند الشريحة العليا —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أعلى من الطبقة الاقتصادية (‏6.0$‏) وداخل نطاق المتوسطة (‏10.0$‏)، أي نحو المئين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السبعين، وهو تموضع يرجّح التمييز النوعي لا المنافسة على السعر وحده.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مسار الدخول والمتطلبات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بوصف التمور منتجاً غذائياً، تتركّز اشتراطاته على سلامة الغذاء وحدود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الملوّثات وشهادات الجودة. وتنتظم هذه الاشتراطات في ثلاث طبقات: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إلزامية (بوابة أهلية، لا دخول بدونها):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رقم اللائحة/المعيار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منشأة معتمدة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2017/625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تسجيل قبل أيّ شحنة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حدود الملوّثات والمبيدات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EU 2023/915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  <w:shd w:val="clear" w:fill="F2F7F3"/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التزام حدود المتبقّيات المعتمدة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إضافية يطلبها المشترون عادةً: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المعيار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سلامة غذائية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BRC / IFS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تدقيق طرف ثالث معتمد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اشتراطات أسواق متخصصة (نيش):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2880"/>
        <w:gridCol w:w="2880"/>
        <w:gridCol w:w="2880"/>
      </w:tblGrid>
      <w:tr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الاشتراط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المعيار</w:t>
            </w:r>
          </w:p>
        </w:tc>
        <w:tc>
          <w:tcPr>
            <w:tcW w:type="dxa" w:w="312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الإجراء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حلال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GSO 993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شهادة من جهة مانحة معترف بها</w:t>
            </w:r>
          </w:p>
        </w:tc>
      </w:tr>
    </w:tbl>
    <w:p>
      <w:pPr>
        <w:bidi/>
        <w:jc w:val="start"/>
      </w:pPr>
      <w:r>
        <w:rPr>
          <w:rFonts w:ascii="IBM Plex Sans Arabic" w:hAnsi="IBM Plex Sans Arabic" w:cs="IBM Plex Sans Arabic"/>
          <w:rtl/>
        </w:rPr>
        <w:t>والتعريفة الأوروبية على HS080410 صفر ضمن نظام GSP+ للسعودية. ومن ثمّ فإنّ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التكلفة الجمركية ليست العائق أمام الدخول، بل الطبقةُ الإلزامية أعلاه هي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بوابة الأهلية التي تحدّد الجدول الزمني الفعلي للشحنة الأولى.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يمثّل ميناء روتردام أكبر بوابة استيراد أوروبية، ويأتي مؤشر أداء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اللوجستيات الهولندي من الأعلى عالمياً (World Bank LPI (‏تقييم البنك الدولي لجودة الشحن واللوجستيات من 5‏)). وتتوفّر ثلاث قنوات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عملية: موزّع أغذية متخصص، وسلاسل إثنية، وتجارة إلكترونية. والقناة الأولى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الموصى بها لمصدّر سعودي جديد هي موزّع الأغذية المتخصص الذي يخدم القناة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الحلال، لأنّه يجمع تركّز المشترين وهامشاً أعلى وحاجز دخول أدنى من محاولة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اختراق التجزئة العامة مباشرة. وبما أنّ البنية اللوجستية ناضجة، ينصرف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قراركم إلى اعتماد موزّع قائم بدل بناء حلّ شحن مخصَّص.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خارطة طريق الدخول (٩٠ يوماً)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(أ) الشريحة المستهدَفة هي شريحة الطلب المحسوبة في تحليل المستهلك (نحو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1,000,000 نسمة). (ب) التموضع بين طبقة Jumbo المتوسطة (‏9.20€‏) والفاخر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(‏14.00€‏) وفق سلّم الأسعار المرصود، بهامش تقديري 1.0-1.8 يورو/كغم بعد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تكلفة الهبوط 9.1€ عند القناة المتخصصة. (ج) أول باب دخول: موزّعو أغذية حلال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متخصصون في أمستردام وروتردام. (د) أول ثلاث خطوات: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تسجيل المنشأة المعتمدة EU 2017/625 (فريق الامتثال، تكلفة متوسطة)، ثم عيّنة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تجريبية لموزّع مرشّح (فريق المبيعات، تكلفة منخفضة)، ثم دراسة تسعير مقابل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تونس والمغرب (فريق التسويق، تكلفة منخفضة). (هـ) مؤشرا القلب: إتمام تسجيل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الأهلية خلال 90 يوماً، وردّ فعل سعري إيجابي من موزّع واحد على الأقل.</w:t>
      </w:r>
    </w:p>
    <w:p>
      <w:pPr>
        <w:bidi/>
        <w:jc w:val="start"/>
      </w:pPr>
      <w:r>
        <w:rPr>
          <w:rFonts w:ascii="IBM Plex Sans Arabic" w:hAnsi="IBM Plex Sans Arabic" w:cs="IBM Plex Sans Arabic"/>
          <w:b/>
          <w:rtl/>
        </w:rPr>
        <w:t>ماذا يعني هذا لقرارك: هذه الخطوات الثلاث تحسم خلال ربع واحد ما إذا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تحوّلت التوصية إلى دخول كامل أم تجمّدت.</w:t>
      </w:r>
    </w:p>
    <w:p>
      <w:pPr>
        <w:pStyle w:val="Heading3"/>
        <w:bidi/>
        <w:jc w:val="start"/>
      </w:pPr>
      <w:r>
        <w:rPr>
          <w:rFonts w:ascii="IBM Plex Sans Arabic" w:hAnsi="IBM Plex Sans Arabic" w:cs="IBM Plex Sans Arabic"/>
          <w:rtl/>
        </w:rPr>
        <w:t>نصائح عملية للمصدّر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ابدأ ملف الأهلية EU 2017/625 قبل أيّ التزام تسويقي — هو المسار الحرج.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استهدف موزّع الأغذية الحلال المتخصص أولاً لا التجزئة العامة، حفاظاً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على الهامش عند حافة الطبقة المتوسطة.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وقّت أول شحنة قبل موسم رمضان بما يكفي لملء رفوف القناة المتخصصة في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ذروة الطلب.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- ثبّت شهادة سلامة غذائية (‏BRC/IFS‏) مبكّراً — يطلبها كبار المشترين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الأوروبيين ولو لم تكن إلزامية قانوناً.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المخاطر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يظهر الاستقرار السياسي وسيادة القانون مرتفعَين (World Bank WGI (مؤشرات الحوكمة العالمية للبنك الدولي: استقرار سياسي وسيادة قانون وجودة تنظيم))، فيما لا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يشكّل تقلّب سعر الصرف عاملاً لأنّ اليورو هو عملة السوق نفسها. ولم ترصد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أخبار مخاطر قطاعية جوهرية خلال 12 شهراً (خدمة التحقق المدفوعة من المشترين وجهات الاتصال). وبذلك لا تبرز مخاطرة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كلّية تستدعي تأجيل الدخول، وتبقى المخاطرة الوحيدة الجوهرية إجرائيةً تتصل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بإتمام الأهلية التنظيمية في وقتها.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ما لم يكتمل للقرار، والخطوة التالية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النقاط التالية لم تكتمل توثيقاً ضمن هذا التقرير؛ هي ما يفصل التوصية الحالية عن قرار نهائي كامل، وكلٌّ منها قابل للإغلاق بخطوة محدّدة: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لم نتمكّن من تأكيد قناة الدخول الأولى (موزّع أغذية حلال في أمستردام — مرشّح محتمل) من مصدر موثّق — إغلاق هذه الفجوة يتطلّب خدمة تحقّق جهات اتصال مدفوعة (قواعد بيانات تجارية) قبل الالتزام بالموزّع.</w:t>
      </w:r>
    </w:p>
    <w:p>
      <w:pPr>
        <w:pStyle w:val="Heading1"/>
        <w:bidi/>
        <w:jc w:val="start"/>
      </w:pPr>
      <w:r>
        <w:rPr>
          <w:rFonts w:ascii="IBM Plex Sans Arabic" w:hAnsi="IBM Plex Sans Arabic" w:cs="IBM Plex Sans Arabic"/>
          <w:rtl/>
        </w:rPr>
        <w:t>المراجع</w:t>
      </w:r>
    </w:p>
    <w:p>
      <w:pPr>
        <w:bidi/>
        <w:jc w:val="start"/>
      </w:pPr>
      <w:r>
        <w:rPr>
          <w:rFonts w:ascii="IBM Plex Sans Arabic" w:hAnsi="IBM Plex Sans Arabic" w:cs="IBM Plex Sans Arabic"/>
          <w:rtl/>
        </w:rPr>
        <w:t>اعتمد هذا التقرير على مصادر رسمية عامة (‏Albert Heijn، EU 2017/625، Eurostat، Google Trends، Jumbo، UN Comtrade‏)، مع تحليل تقاطعي بينها ومراجعة للاتساق قبل الاعتماد. خضعت كل معلومة للتحقّق من مصدرها العمومي المباشر. أحدث تاريخ جمع بيانات: 2026-07-02. قائمة المراجع الكاملة بروابطها الرسمية ختام التقرير.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Eurostat (مسح ميزانية الأسرة) — https://ec.europa.eu/eurostat/ (‏تاريخ الجمع: 2026-07-02‏)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Google Trends — https://trends.google.com/trends/ (‏تاريخ الجمع: 2026-07-02‏)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UN Comtrade — https://comtradeplus.un.org/ (‏تاريخ الجمع: 2026-07-02‏)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WITS/WTO Tariff — https://wits.worldbank.org/ (‏تاريخ الجمع: 2026-07-02‏)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World Bank — https://data.albankaldawli.org/ (‏تاريخ الجمع: 2026-07-02‏)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مسرد المصطلحات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HHI: مؤشر يقيس تركّز السوق بين المورّدين: فوق 2500 تركّز مرتفع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LPI: تقييم البنك الدولي لجودة الشحن واللوجستيات من 5</w:t>
      </w:r>
    </w:p>
    <w:p>
      <w:pPr>
        <w:pStyle w:val="ListBullet"/>
        <w:bidi/>
        <w:jc w:val="start"/>
      </w:pPr>
      <w:r>
        <w:rPr>
          <w:rFonts w:ascii="IBM Plex Sans Arabic" w:hAnsi="IBM Plex Sans Arabic" w:cs="IBM Plex Sans Arabic"/>
          <w:rtl/>
        </w:rPr>
        <w:t>WGI: مؤشرات الحوكمة العالمية للبنك الدولي: استقرار سياسي وسيادة قانون وجودة تنظيم</w:t>
      </w:r>
    </w:p>
    <w:p>
      <w:pPr>
        <w:pStyle w:val="Heading2"/>
        <w:bidi/>
        <w:jc w:val="start"/>
      </w:pPr>
      <w:r>
        <w:rPr>
          <w:rFonts w:ascii="IBM Plex Sans Arabic" w:hAnsi="IBM Plex Sans Arabic" w:cs="IBM Plex Sans Arabic"/>
          <w:rtl/>
        </w:rPr>
        <w:t>قائمة مستوردين وموزعين قابلين للتواصل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BBBBB"/>
          <w:left w:val="single" w:sz="4" w:space="0" w:color="BBBBBB"/>
          <w:bottom w:val="single" w:sz="4" w:space="0" w:color="BBBBBB"/>
          <w:right w:val="single" w:sz="4" w:space="0" w:color="BBBBBB"/>
          <w:insideH w:val="single" w:sz="4" w:space="0" w:color="BBBBBB"/>
          <w:insideV w:val="single" w:sz="4" w:space="0" w:color="BBBBBB"/>
        </w:tblBorders>
        <w:bidiVisual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الاسم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العنوان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الهاتف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الإيميل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الموقع</w:t>
            </w:r>
          </w:p>
        </w:tc>
        <w:tc>
          <w:tcPr>
            <w:tcW w:type="dxa" w:w="1560"/>
            <w:shd w:val="clear" w:fill="166534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b/>
                <w:color w:val="FFFFFF"/>
                <w:rtl/>
              </w:rPr>
              <w:t>التقييم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 Import BV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Barcelona (نموذج)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+34 93 000 0000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info@ejmar.example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ejmar.example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bidi/>
              <w:jc w:val="start"/>
            </w:pPr>
            <w:r>
              <w:rPr>
                <w:rFonts w:ascii="IBM Plex Sans Arabic" w:hAnsi="IBM Plex Sans Arabic" w:cs="IBM Plex Sans Arabic"/>
                <w:rtl/>
              </w:rPr>
              <w:t>4.4 (76)</w:t>
            </w:r>
          </w:p>
        </w:tc>
      </w:tr>
    </w:tbl>
    <w:p>
      <w:pPr>
        <w:pStyle w:val="IntenseQuote"/>
        <w:bidi/>
        <w:jc w:val="start"/>
      </w:pPr>
      <w:r>
        <w:rPr>
          <w:rFonts w:ascii="IBM Plex Sans Arabic" w:hAnsi="IBM Plex Sans Arabic" w:cs="IBM Plex Sans Arabic"/>
          <w:rtl/>
        </w:rPr>
        <w:t>إدراج النشاط في خرائط قوقل يثبت وجوده وجهة اتصاله فقط، لا أنه يستورد «تمور» — التحقق التجاري خطوة تالية.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800" w:bottom="1440" w:left="1800" w:header="720" w:footer="720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start"/>
    </w:pPr>
    <w:r>
      <w:rPr>
        <w:rFonts w:ascii="IBM Plex Sans Arabic" w:hAnsi="IBM Plex Sans Arabic" w:cs="IBM Plex Sans Arabic"/>
        <w:rtl/>
      </w:rPr>
      <w:t xml:space="preserve">سلك لذكاء الأسواق — منصة تحليل أسواق التصدير السعودية — صفحة </w:t>
    </w:r>
    <w:r>
      <w:rPr>
        <w:rFonts w:ascii="IBM Plex Sans Arabic" w:hAnsi="IBM Plex Sans Arabic" w:cs="IBM Plex Sans Arabic"/>
        <w:rtl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bidi/>
      <w:jc w:val="start"/>
    </w:pPr>
    <w:r>
      <w:rPr>
        <w:rFonts w:ascii="IBM Plex Sans Arabic" w:hAnsi="IBM Plex Sans Arabic" w:cs="IBM Plex Sans Arabic"/>
        <w:rtl/>
      </w:rPr>
      <w:t>سلك — دراسة سوق تصديرية: تمور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bidi/>
      <w:spacing w:line="345" w:lineRule="auto" w:after="180"/>
      <w:jc w:val="start"/>
    </w:pPr>
    <w:rPr>
      <w:rFonts w:ascii="IBM Plex Sans Arabic" w:hAnsi="IBM Plex Sans Arabic" w:cs="IBM Plex Sans Arabic"/>
      <w:sz w:val="22"/>
      <w:rtl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bidi/>
      <w:jc w:val="start"/>
    </w:pPr>
    <w:rPr>
      <w:rFonts w:ascii="IBM Plex Sans Arabic" w:hAnsi="IBM Plex Sans Arabic" w:cs="IBM Plex Sans Arabic"/>
      <w:color w:val="555555"/>
      <w:sz w:val="18"/>
      <w:rtl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8"/>
      <w:szCs w:val="28"/>
      <w:rtl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166534"/>
      <w:sz w:val="26"/>
      <w:szCs w:val="26"/>
      <w:rtl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color w:val="333333"/>
      <w:sz w:val="24"/>
      <w:rtl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bCs/>
      <w:i/>
      <w:iCs/>
      <w:color w:val="4F81BD" w:themeColor="accent1"/>
      <w:rtl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243F60" w:themeColor="accent1" w:themeShade="7F"/>
      <w:rtl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243F60" w:themeColor="accent1" w:themeShade="7F"/>
      <w:rtl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rtl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color w:val="4F81BD" w:themeColor="accent1"/>
      <w:sz w:val="20"/>
      <w:szCs w:val="20"/>
      <w:rtl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04040" w:themeColor="text1" w:themeTint="BF"/>
      <w:sz w:val="20"/>
      <w:szCs w:val="20"/>
      <w:rtl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b/>
      <w:color w:val="166534"/>
      <w:spacing w:val="5"/>
      <w:kern w:val="28"/>
      <w:sz w:val="36"/>
      <w:szCs w:val="52"/>
      <w:rtl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bidi/>
      <w:jc w:val="start"/>
    </w:pPr>
    <w:rPr>
      <w:rFonts w:asciiTheme="majorHAnsi" w:eastAsiaTheme="majorEastAsia" w:hAnsiTheme="majorHAnsi" w:cstheme="majorBidi" w:ascii="IBM Plex Sans Arabic" w:hAnsi="IBM Plex Sans Arabic" w:cs="IBM Plex Sans Arabic"/>
      <w:i/>
      <w:iCs/>
      <w:color w:val="4F81BD" w:themeColor="accent1"/>
      <w:spacing w:val="15"/>
      <w:sz w:val="24"/>
      <w:szCs w:val="24"/>
      <w:rtl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bidi/>
      <w:jc w:val="start"/>
    </w:pPr>
    <w:rPr>
      <w:rFonts w:ascii="IBM Plex Sans Arabic" w:hAnsi="IBM Plex Sans Arabic" w:cs="IBM Plex Sans Arabic"/>
      <w:rtl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bidi/>
      <w:jc w:val="start"/>
    </w:pPr>
    <w:rPr>
      <w:rFonts w:ascii="IBM Plex Sans Arabic" w:hAnsi="IBM Plex Sans Arabic" w:cs="IBM Plex Sans Arabic"/>
      <w:sz w:val="16"/>
      <w:szCs w:val="16"/>
      <w:rtl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bidi/>
      <w:jc w:val="start"/>
    </w:pPr>
    <w:rPr>
      <w:rFonts w:ascii="IBM Plex Sans Arabic" w:hAnsi="IBM Plex Sans Arabic" w:cs="IBM Plex Sans Arabic"/>
      <w:rtl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bidi/>
      <w:jc w:val="start"/>
    </w:pPr>
    <w:rPr>
      <w:rFonts w:ascii="IBM Plex Sans Arabic" w:hAnsi="IBM Plex Sans Arabic" w:cs="IBM Plex Sans Arabic"/>
      <w:sz w:val="20"/>
      <w:szCs w:val="20"/>
      <w:rtl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bidi/>
      <w:jc w:val="start"/>
    </w:pPr>
    <w:rPr>
      <w:rFonts w:ascii="IBM Plex Sans Arabic" w:hAnsi="IBM Plex Sans Arabic" w:cs="IBM Plex Sans Arabic"/>
      <w:i/>
      <w:iCs/>
      <w:color w:val="000000" w:themeColor="text1"/>
      <w:rtl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bidi/>
      <w:jc w:val="start"/>
    </w:pPr>
    <w:rPr>
      <w:rFonts w:ascii="IBM Plex Sans Arabic" w:hAnsi="IBM Plex Sans Arabic" w:cs="IBM Plex Sans Arabic"/>
      <w:b/>
      <w:bCs/>
      <w:color w:val="4F81BD" w:themeColor="accent1"/>
      <w:sz w:val="18"/>
      <w:szCs w:val="18"/>
      <w:rtl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bidi/>
      <w:jc w:val="start"/>
    </w:pPr>
    <w:rPr>
      <w:rFonts w:ascii="IBM Plex Sans Arabic" w:hAnsi="IBM Plex Sans Arabic" w:cs="IBM Plex Sans Arabic"/>
      <w:b/>
      <w:bCs/>
      <w:i/>
      <w:iCs/>
      <w:color w:val="4F81BD" w:themeColor="accent1"/>
      <w:rtl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bidi/>
      <w:jc w:val="start"/>
    </w:pPr>
    <w:rPr>
      <w:rFonts w:ascii="IBM Plex Sans Arabic" w:hAnsi="IBM Plex Sans Arabic" w:cs="IBM Plex Sans Arabic"/>
      <w:rtl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