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2026-07-28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(‏مؤشر يقيس تركّز السوق بين المورّدين: فوق 2500 تركّز مرتفع‏)≈2100)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 (‏66%‏)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(‏UN Comtrade‏)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(‏Google Trends‏).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بعملة الرصد الفعلية (لا تحويل عملةٍ ولا وعدٌ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بتحويلٍ لم يُجرَ)، مع متجرها وتاريخ رصدها: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(بعملة الرصد)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(‏UN Comtrade‏)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(‏9.0$/كغم‏)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(‏6.0$‏) وداخل نطاق المتوسطة (‏10.0$‏)،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(‏تقييم البنك الدولي لجودة الشحن واللوجستيات من 5‏)).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(‏9.20€‏)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(‏14.00€‏)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(‏BRC/IFS‏)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المراجع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(‏Albert Heijn، EU 2017/625، Eurostat، Google Trends، Jumbo، UN Comtrade‏)، مع تحليل تقاطعي بينها ومراجعة للاتساق قبل الاعتماد. خضعت كل معلومة للتحقّق من مصدرها العمومي المباشر. أحدث تاريخ جمع بيانات: 2026-07-02. قائمة المراجع الكاملة بروابطها الرسمية ختام التقرير.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Eurostat (مسح ميزانية الأسرة) — https://ec.europa.eu/eurostat/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Google Trends — https://trends.google.com/trends/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UN Comtrade — https://comtradeplus.un.org/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WITS/WTO Tariff — https://wits.worldbank.org/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World Bank — https://data.albankaldawli.org/ (‏تاريخ الجمع: 2026-07-02‏)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