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2026-07-29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60.0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income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0.5،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named_density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التنظيم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tariff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margin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أمان السوق (المخاطر) غائب (‏political_stability, regulatory_quality, logistics, fx_stability‏)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شدة المنافسة ضعيف (‏37%‏) — متوسط المتاح من: HHI مقسوماً على 0.5،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0.636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2026-07-29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TAM مرصوداً + شريحة tier في بطاقة المنتج (‏premium/mid/mass‏)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طاقة شهرية في بطاقة المنتج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0.38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&gt;0.25 سوق مركّز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لا تقرير سعودي مباشر (‏reporter=SAU‏) لـ HS080410→CHN 2023 — مرآة غير متاحة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بطاقة المنتج غير مكتملة — الدليل: الهامش عند الحدود: يتطلب بطاقة منتج بوحدة kg (‏cost_per_unit‏)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2026-07-29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مرصودة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(‏product_card‏)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2026-07-29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تأمين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متوفر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HHI=0.38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(‏product_card‏)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(‏0/2 حقائق سوقية‏)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(‏0/1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(‏0/2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(‏0/2 حقائق سوقية‏)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