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jc w:val="start"/>
      </w:pPr>
      <w:r>
        <w:rPr>
          <w:rFonts w:ascii="IBM Plex Sans Arabic" w:hAnsi="IBM Plex Sans Arabic" w:cs="IBM Plex Sans Arabic"/>
          <w:b/>
          <w:color w:val="1B3B6F"/>
          <w:sz w:val="56"/>
          <w:rtl/>
          <w:szCs w:val="56"/>
        </w:rPr>
        <w:t>سلك</w:t>
      </w:r>
    </w:p>
    <w:p>
      <w:pPr>
        <w:pStyle w:val="Title"/>
        <w:bidi/>
        <w:jc w:val="start"/>
      </w:pPr>
      <w:r>
        <w:rPr>
          <w:rFonts w:ascii="IBM Plex Sans Arabic" w:hAnsi="IBM Plex Sans Arabic" w:cs="IBM Plex Sans Arabic"/>
          <w:rtl/>
        </w:rPr>
        <w:t>سلك — تقرير بحث سوق: تمور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⚠ TEST RUN — تشغيل برهاني ببدائل موسومة، ليس تقريراً إنتاجياً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4320"/>
        <w:gridCol w:w="4320"/>
      </w:tblGrid>
      <w:tr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البند</w:t>
            </w:r>
          </w:p>
        </w:tc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المنتج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تمور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رمز HS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080410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المنشأ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المملكة العربية السعودية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السوق المستهدف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China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تاريخ الإعداد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2026-08-07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سنة البيانات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2023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تغطية البيانات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42.1%</w:t>
            </w:r>
          </w:p>
        </w:tc>
      </w:tr>
    </w:tbl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المحتويات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1. الخلاصة التنفيذية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2. منهجية البحث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3. تعريف السوق ونطاقه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4. نظرة عامة على السوق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5. ديناميكيات السوق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6. حجم السوق والتوقعات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7. تحليل التقسيم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8. تحليل التجارة (استيراد/تصدير)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9. الأسواق المرشّحة الأخرى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10. المشهد التنافسي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11. استخبارات العميل والطلب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12. المشهد التنظيمي والمخاطر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13. الاتجاهات والتوقع المستقبلي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14. التوصيات الاستراتيجية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حدود التحليل (الفجوات المعلنة)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دليل المورّدين (الاتصال بالموردين والمستوردين)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الملحق (تغطية المصادر وأثرها)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١. الخلاصة التنفيذية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التوصية: دخول مشروط لسوق الصين، بدرجة ثقة منخفضة (‏31%‏). الفرصة قائمة، لكن اكتمال الصورة يتطلب استيفاء الشروط الواردة أدناه قبل قرار نهائي.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الأساس التجاري: يستورد السوق ما قيمته 60.0 مليون دولار سنوياً من هذا المنتج (‏المصدر: UN Comtrade‏)؛ والمنتجات السعودية حاضرة فعلاً بحصة 30% من واردات السوق (‏المصدر: UN Comtrade‏)؛ وسوق عالي التركّز — مورّد أو اثنان يهيمنان.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لاكتمال الثقة في هذه التوصية يلزم: الصين: دخل الفرد غير متوفر؛ الإمارات: دخل الفرد غير متوفر.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٢. منهجية البحث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سنة البيانات المعتمدة: 2023.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تغطية البيانات الإجمالية لهذا التحليل: 42.1%.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المصادر التي أسهمت فعلياً في هذا التشغيل: GCC secretariat، Pew Research Center (لقطة ساكنة مقرّبة)، Silk L1 requirements reference (‏official portals / EUR-Lex‏)، UN Comtrade، UN Comtrade (مخزن الحقائق).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كل رقم في هذا التقرير يُعرض مع مصدره وتاريخ سحبه؛ القيمة غير المتاحة تُعرض «—».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بوابة كفاية البيانات: 2/3 وكلاء أساسيون لديهم بيانات؛ فجوات: المؤشرات الاقتصادية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هذه قراءة أولية مبنية على البيانات العامة المتاحة وقت الإعداد.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٣. تعريف السوق ونطاقه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يشمل هذا التقرير: صادرات تمور (‏رمز HS 080410‏) من المملكة العربية السعودية، مُقيَّمة عبر 2 أسواق مرشّحة، ومفصَّلة بعمق للسوق الأعلى ترتيباً (‏China‏). يستثني هذا التقرير: التسعير التفصيلي بالتجزئة والملفات المالية للمنافسين (تتطلبان خدمة التعميق المدفوعة)، وتحليل الشرائح السلوكية للعملاء واستخبارات الطلب المباشرة (تتطلبان بحثاً أولياً — مقابلات أو استبيانات — لم يُجرَ بعد).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قرار الدخول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الحكم: دخول مشروط | النقاط: 0.636 | الثقة: منخفضة (‏31%‏)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أساس الثقة: التغطية 39% × الأعمدة المحسوبة 4/5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منهجية الترجيح المعتمدة: الأوزان القياسية — النقاط 0.636 (‏بديل مقارنة، الأوزان التنظيمية المُثقّلة: 0.584‏)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ملاحظة الأوزان: تُحسب الدرجة بمجموعتي أوزان معاً للمقارنة؛ المعتمد لهذا القرار: الأوزان القياسية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العمود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الأساس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مكوّنات غائبة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جاذبية السوق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0.892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 المتاح من: log10(‏TAM‏)/9 (‏سقف 10^9$‏)، (‏CAGR+10‏)/40 (‏−10%→0، +30%→1‏)، دخل الفرد/50k$، الحصة السعودية/20%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income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المنافسة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0.63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 المتاح من: HHI مقسوماً على 0.5، وحصة المورّد الأكبر مقسومةً على 100، وعدد المرشّحين بالاسم مقسوماً على 10 — الدرجة المستهلكة في المجموع هي (‏1 − الشدة‏)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named_density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التنظيم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0.375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 المتاح من: (‏1 − تعريفة/30%‏)، وضوح القائمة (‏بنود/8‏)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tariff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الربحية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0.75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 المتاح من: الهامش/40%، الموقع السعري (‏1.5 − سعرك/متوسط السوق‏)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margin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أمان السوق (المخاطر)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 المتاح من: (‏استقرار سياسي WGI+2.5‏)/5، (‏جودة تنظيم WGI+2.5‏)/5، (‏LPI−1‏)/4، (‏1 − تقلّب الصرف/20%‏) — أعلى=أأمن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political_stability، regulatory_quality، logistics، fx_stability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أعمدة غائبة كلياً: أمان السوق (المخاطر)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الشروط: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عمود أمان السوق (المخاطر) غائب (‏political_stability, regulatory_quality, logistics, fx_stability‏) — أكمل مصادره قبل قرار نهائي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عمود شدة المنافسة ضعيف (‏37%‏) — متوسط المتاح من: HHI مقسوماً على 0.5، وحصة المورّد الأكبر مقسومةً على 100، وعدد المرشّحين بالاسم مقسوماً على 10 — الدرجة المستهلكة في المجموع هي (‏1 − الشدة‏)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عمود الملاءمة التنظيمية ضعيف (‏38%‏) — متوسط المتاح من: (‏1 − تعريفة/30%‏)، وضوح القائمة (‏بنود/8‏)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سجل المخاطر: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تركّز مصادر التوريد (الشدة: متوسطة) — الدليل: HHI=0.38 &gt; 0.25 (كومتريد)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تغطية بيانات منخفضة (الشدة: متوسطة) — الدليل: تغطية الوكلاء 39% &lt; 60% — القرار مشروط باكتمالها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الخطوات الأولى: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أغلق بنود قائمة الاشتراطات بنداً بنداً بمرجعها الرسمي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سوق مركّز: ادخل عبر موزّع قائم من مرشّحي التوريد المرصودين بدل البناء المباشر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لماذا: الدرجة الموزونة 0.636 في النطاق الشرطي والثقة منخفضة (‏31%‏) دون الحد الأدنى (‏60%‏) وشروط مفتوحة (‏3‏)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قرار حتمي قابل للتفسير من الحزمة البحثية المتحقَّق منها — الأعمدة الغائبة شروط معلنة، لا تخمين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٤. نظرة عامة على السوق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لم تُجمع إشارات نوعية عن حالة الصناعة في هذا التشغيل — يتطلب مفتاح بحث الويب.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٥. ديناميكيات السوق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تحليل الدوافع والكوابح والفرص والتحديات يتطلب مفتاح بحث الويب — لم يُشغَّل في هذا التحليل.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٦. حجم السوق والتوقعات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حجم السوق — TAM/SAM/SOM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المؤشر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النوع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المصدر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إجمالي واردات السوق (‏TAM‏)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60,000,000 USD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رصد مباشر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 | سُحب: 2026-08-07 | ثقة: عالية (‏90%‏)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نمو الواردات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50.0 %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رصد مباشر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 (مخزن الحقائق) | سُحب: 2026-08-07 | ثقة: عالية (‏90%‏)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معدل النمو السنوي المركّب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22.5 %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رصد مباشر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 (مخزن الحقائق) | سُحب: 2026-08-07 | ثقة: عالية (‏90%‏)</w:t>
            </w:r>
          </w:p>
        </w:tc>
      </w:tr>
    </w:tbl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غير متوفر: السوق القابل للخدمة (‏SAM‏): يتطلب TAM مرصوداً + شريحة tier في بطاقة المنتج (‏premium/mid/mass‏)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غير متوفر: الحصة القابلة للتحصيل (‏SOM‏): يتطلب طاقة شهرية في بطاقة المنتج + قيمة وحدة حدودية مرصودة (قيمة/وزن كومتريد)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٧. تحليل التقسيم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شرائح العملاء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شريحة الحلال/رمضان: 2.0% من السكان — الأساس: مرجع Pew الساكن — muslim_share_pct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٨. تحليل التجارة (استيراد/تصدير)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الدولة المورّدة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الحصة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Iran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50%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30.0 مليون دولار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Saudi Arabia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30%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18.0 مليون دولار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Tunisia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20%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12.0 مليون دولار</w:t>
            </w:r>
          </w:p>
        </w:tc>
      </w:tr>
    </w:tbl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المصدر: UN Comtrade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٩. الأسواق المرشّحة الأخرى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٩.1 China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يستورد السوق ما قيمته 60.0 مليون دولار سنوياً من هذا المنتج (‏المصدر: UN Comtrade‏)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المنتجات السعودية حاضرة فعلاً بحصة 30% من واردات السوق (‏المصدر: UN Comtrade‏)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سوق عالي التركّز — مورّد أو اثنان يهيمنان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الثقة الإجمالية لهذا التقييم: متوسطة (‏75%‏)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٩.2 United Arab Emirates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يستورد السوق ما قيمته 20.0 مليون دولار سنوياً من هذا المنتج (‏المصدر: UN Comtrade‏)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المنتجات السعودية حاضرة فعلاً بحصة 100% من واردات السوق (‏المصدر: UN Comtrade‏)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سوق عالي التركّز — مورّد أو اثنان يهيمنان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الثقة الإجمالية لهذا التقييم: متوسطة (‏75%‏)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١٠. المشهد التنافسي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شركات بالاسم (مرشّحون غير موثَّقين)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لا شركات مرصودة بالاسم في هذا التشغيل (‏أسماء الأعمال تأتي من Google Places حصراً‏)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الطبقة الدولية (‏تركّز الموردين — UN Comtrade‏):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المؤشر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المصدر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ملاحظة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تركّز الموردين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0.38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 | سُحب: 2026-08-07 | ثقة: عالية (‏90%‏)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مؤشر هيرفنداهل لتركّز المورّدين (‏3 دولة‏) — &gt;0.25 سوق مركّز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حصة المورّد الأكبر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50.0 %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 | سُحب: 2026-08-07 | ثقة: عالية (‏90%‏)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حصة المورّد الأكبر: إيران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الحصة السعودية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30.0 %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 | سُحب: 2026-08-07 | ثقة: عالية (‏90%‏)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غير مثلَّث — تقرير سعودي مباشر (مرآة) غير متاح: لا تقرير سعودي مباشر (‏reporter=SAU‏) لـ HS080410→CHN 2023 — مرآة غير متاحة</w:t>
            </w:r>
          </w:p>
        </w:tc>
      </w:tr>
    </w:tbl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تحليل SWOT (قاعدي من حقائق مرصودة)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rtl/>
              </w:rPr>
              <w:t>القوة</w:t>
            </w:r>
          </w:p>
          <w:p>
            <w:pPr>
              <w:pStyle w:val="ListBullet"/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حضور سعودي قائم بحصة 30.0% من واردات السوق — الدليل: UN Comtrade — الحصة السعودية</w:t>
            </w:r>
          </w:p>
          <w:p>
            <w:pPr>
              <w:pStyle w:val="ListBullet"/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سعر حدودي سعودي منافس (‏2.25$ مقابل متوسط 3.0$/kg‏) — الدليل: UN Comtrade — قيم الوحدة</w:t>
            </w:r>
          </w:p>
        </w:tc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rtl/>
              </w:rPr>
              <w:t>الضعف</w:t>
            </w:r>
          </w:p>
          <w:p>
            <w:pPr>
              <w:pStyle w:val="ListBullet"/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الهامش غير محسوب — بطاقة المنتج غير مكتملة — الدليل: الهامش عند الحدود: يتطلب بطاقة منتج بوحدة kg (‏cost_per_unit‏) + قيمة وحدة حدودية مرصودة</w:t>
            </w:r>
          </w:p>
        </w:tc>
      </w:tr>
      <w:tr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rtl/>
              </w:rPr>
              <w:t>الفرص</w:t>
            </w:r>
          </w:p>
          <w:p>
            <w:pPr>
              <w:pStyle w:val="ListBullet"/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واردات السوق تنمو 22.5% سنوياً مركّباً — الدليل: UN Comtrade — معدل النمو السنوي المركّب</w:t>
            </w:r>
          </w:p>
        </w:tc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rtl/>
              </w:rPr>
              <w:t>التهديدات</w:t>
            </w:r>
          </w:p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خلايا مشتقة من الحقائق المتاحة — الخلية الفارغة تعني غياب البيانات، لا سلامة الجانب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التسعير بطبقتيه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الطبقة الحدودية (قيم وحدة كومتريد):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المؤشر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النوع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المصدر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 سعر الوحدة عند الحدود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3.0 USD/kg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مُقدَّر — نموذج بافتراضات معلنة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 (مخزن الحقائق) | سُحب: 2026-08-07 | ثقة: عالية (‏90%‏)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سعر الوحدة السعودي عند الحدود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2.25 USD/kg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مُقدَّر — نموذج بافتراضات معلنة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 (مخزن الحقائق) | سُحب: 2026-08-07 | ثقة: عالية (‏85%‏)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الهامش عند الحدود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</w:tr>
    </w:tbl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معادلة «متوسط سعر الوحدة عند الحدود»: قيمة الوحدة = قيمة الواردات ÷ الوزن الصافي (كلاهما مرصود من كومتريد)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معادلة «سعر الوحدة السعودي عند الحدود»: قيمة وحدة الصادر السعودي = قيمة ÷ وزن صافٍ (تقرير الجهة المستوردة أو التقرير السعودي المباشر — مرآة)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طبقة التجزئة: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أسعار التجزئة: وكيل أسعار التجزئة المدفوع: وكيل مدفوع لا يعمل خارج خدمة التعميق المدفوعة — تخطٍّ بنيوي بلا أي نداء؛ ولا نتائج Google Shopping مرصودة (يتطلب تهيئة مفتاح خدمة البحث (‏Serper‏))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مراجع الأسعار: غير مرصودة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موقعك التنافسي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أضف بطاقة منتجك (‏product_card‏) للحصول على موقعك التنافسي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١١. استخبارات العميل والطلب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—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صوت العميل المباشر (ما الذي يقدّره المشترون وكيف يقيّمون المورّدين) يتطلب بحثاً أولياً — مقابلات أو استبيانات — لم يُجرَ بعد؛ هذا القسم يعرض إشارات ثانوية فقط.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١٢. المشهد التنظيمي والمخاطر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الاشتراطات التنظيمية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البند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الجهة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الاتجاه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الرابط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شهادة المنشأ السعودية للصادرات (وزارة التجارة / الغرف التجارية)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وزارة التجارة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exit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https://mc.gov.sa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متطلبات SFDA لتصدير الفئات الخاضعة (منشآت مرخّصة وشهادات صحية عند طلب سوق الوجهة)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الهيئة العامة للغذاء والدواء SFDA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exit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https://www.sfda.gov.sa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التسجيل في بوابة هيئة تنمية الصادرات السعودية (خدمات وبرامج دعم المصدرين)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هيئة تنمية الصادرات السعودية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exit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https://saudiexports.sa</w:t>
            </w:r>
          </w:p>
        </w:tc>
      </w:tr>
    </w:tbl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المصدر: Silk L1 requirements reference (‏official portals / EUR-Lex‏) | سُحب: 2026-08-07 | ثقة: عالية (‏80%‏)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غير متوفر: التعريفة الجمركية المطبّقة: WITS غير متاح الآن (تعذّر تأمين الاتصال بالمصدر) لـHS080410 SAU←CHN 2023 — أعد المحاولة لاحقاً. | وWTO TTD أيضاً غير متاح: WTO TTD غير مُهيَّأ (‏WTO_TTD_API_KEY غير مضبوط‏) — فجوة معلنة، لا محاولة جلب بلا مفتاح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سجل المخاطر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الخطر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الشدة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الدليل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تركّز مصادر التوريد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HHI=0.38 &gt; 0.25 (كومتريد)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تغطية بيانات منخفضة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تغطية الوكلاء 39% &lt; 60% — القرار مشروط باكتمالها</w:t>
            </w:r>
          </w:p>
        </w:tc>
      </w:tr>
    </w:tbl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١٣. الاتجاهات والتوقع المستقبلي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بيانات الاتجاه غير كافية لهذه السنوات.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حدود هذا التقرير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الصين: دخل الفرد غير متوفر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الإمارات: دخل الفرد غير متوفر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١٤. التوصيات الاستراتيجية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استراتيجية دخول السوق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النموذج الموصى به: عبر موزّع/مستورد محلي قائم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الأساس (من الأقسام أعلاه، لا رقم جديد):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مؤشر تركّز الموردين HHI=0.38 (سوق مركّز)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أكبر حصة مورّد واحد 50.0%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التوصية: دخول مشروط — سوق الصين (ثقة منخفضة (‏31%‏))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أضف بطاقة منتجك (‏product_card‏) للحصول على موقعك التنافسي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دليل المورّدين والمستوردين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دليل المورّدين والمصنّعين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مورّدون ومصنّعون سعوديون: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—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موزّعون ومستوردون في السوق المستهدف: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—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مرشّحون غير موثَّقين (○ غير متحقق) — أكّدهم قبل التعاقد؛ الترقية الموثّقة عبر خدمة التعميق المدفوعة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الملحق: تغطية المصادر وأثرها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القسم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المُسهم/المُحاوَل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الدرجة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حجم السوق والمنافسة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3/3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1.0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الاشتراطات والتعريفة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3/4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0.75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المنافسون بالاسم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0/0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0.0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الأسعار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2/2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1.0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الطلب والقدرة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0/1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0.0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المخاطر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0/4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0.0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الاتجاه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0/5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0.0</w:t>
            </w:r>
          </w:p>
        </w:tc>
      </w:tr>
    </w:tbl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أقسام دون عتبة الكفاية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بيانات غير كافية لقسم «المنافسون بالاسم» (‏0/2 حقائق سوقية‏) — المصادر المُحاوَلة: لا مصادر مُحاوَلة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بيانات غير كافية لقسم «الطلب والقدرة» (‏0/1 حقائق سوقية‏) — المصادر المُحاوَلة: World Bank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بيانات غير كافية لقسم «المخاطر» (‏0/2 حقائق سوقية‏) — المصادر المُحاوَلة: World Bank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بيانات غير كافية لقسم «الاتجاه» (‏0/2 حقائق سوقية‏) — المصادر المُحاوَلة: UN Comtrade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أثر المصادر (المحاولات والإسهام)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UN Comtrade: أسهم 18 من 18 محاولة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Silk L1 requirements reference (‏official portals / EUR-Lex‏): أسهم 16 من 17 محاولة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 xml:space="preserve">    فشل مُسجَّل: سوق CHN (موثّق جزئياً) غير مغطى بالمرجع الثابت بعد — تحقق محلياً (‏verify locally‏)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UN Comtrade (مخزن الحقائق): أسهم 14 من 14 محاولة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Pew Research Center (لقطة ساكنة مقرّبة): أسهم 4 من 4 محاولة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GCC secretariat: أسهم 1 من 1 محاولة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World Bank: أسهم 0 من 10 محاولة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 xml:space="preserve">    فشل مُسجَّل: no income data for CHN 2023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 xml:space="preserve">    فشل مُسجَّل: الاستقرار السياسي (‏WGI‏) — الاستقرار السياسي (‏CHN‏): تعذّر الجلب — أعد المحاولة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 xml:space="preserve">    فشل مُسجَّل: جودة التنظيم (‏WGI‏) — الجودة التنظيمية (‏CHN‏): تعذّر الجلب — أعد المحاولة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800" w:bottom="1440" w:left="1800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start"/>
    </w:pPr>
    <w:r>
      <w:rPr>
        <w:rFonts w:ascii="IBM Plex Sans Arabic" w:hAnsi="IBM Plex Sans Arabic" w:cs="IBM Plex Sans Arabic"/>
        <w:rtl/>
      </w:rPr>
      <w:t xml:space="preserve">سلك لذكاء الأسواق — منصة تحليل أسواق التصدير السعودية — صفحة </w:t>
    </w:r>
    <w:r>
      <w:rPr>
        <w:rFonts w:ascii="IBM Plex Sans Arabic" w:hAnsi="IBM Plex Sans Arabic" w:cs="IBM Plex Sans Arabic"/>
        <w:rtl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bidi/>
      <w:jc w:val="start"/>
    </w:pPr>
    <w:r>
      <w:rPr>
        <w:rFonts w:ascii="IBM Plex Sans Arabic" w:hAnsi="IBM Plex Sans Arabic" w:cs="IBM Plex Sans Arabic"/>
        <w:rtl/>
      </w:rPr>
      <w:t>سلك — تقرير بحث سوق: تمور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bidi/>
      <w:spacing w:line="345" w:lineRule="auto" w:after="180"/>
      <w:jc w:val="start"/>
    </w:pPr>
    <w:rPr>
      <w:rFonts w:ascii="IBM Plex Sans Arabic" w:hAnsi="IBM Plex Sans Arabic" w:cs="IBM Plex Sans Arabic"/>
      <w:sz w:val="22"/>
      <w:rtl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bidi/>
      <w:jc w:val="start"/>
    </w:pPr>
    <w:rPr>
      <w:rFonts w:ascii="IBM Plex Sans Arabic" w:hAnsi="IBM Plex Sans Arabic" w:cs="IBM Plex Sans Arabic"/>
      <w:color w:val="555555"/>
      <w:sz w:val="18"/>
      <w:rtl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bidi/>
      <w:jc w:val="start"/>
    </w:pPr>
    <w:rPr>
      <w:rFonts w:ascii="IBM Plex Sans Arabic" w:hAnsi="IBM Plex Sans Arabic" w:cs="IBM Plex Sans Arabic"/>
      <w:color w:val="555555"/>
      <w:sz w:val="18"/>
      <w:rtl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166534"/>
      <w:sz w:val="28"/>
      <w:szCs w:val="28"/>
      <w:rtl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166534"/>
      <w:sz w:val="26"/>
      <w:szCs w:val="26"/>
      <w:rtl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333333"/>
      <w:sz w:val="24"/>
      <w:rtl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i/>
      <w:iCs/>
      <w:color w:val="4F81BD" w:themeColor="accent1"/>
      <w:rtl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color w:val="243F60" w:themeColor="accent1" w:themeShade="7F"/>
      <w:rtl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243F60" w:themeColor="accent1" w:themeShade="7F"/>
      <w:rtl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04040" w:themeColor="text1" w:themeTint="BF"/>
      <w:rtl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color w:val="4F81BD" w:themeColor="accent1"/>
      <w:sz w:val="20"/>
      <w:szCs w:val="20"/>
      <w:rtl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04040" w:themeColor="text1" w:themeTint="BF"/>
      <w:sz w:val="20"/>
      <w:szCs w:val="20"/>
      <w:rtl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color w:val="166534"/>
      <w:spacing w:val="5"/>
      <w:kern w:val="28"/>
      <w:sz w:val="36"/>
      <w:szCs w:val="52"/>
      <w:rtl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F81BD" w:themeColor="accent1"/>
      <w:spacing w:val="15"/>
      <w:sz w:val="24"/>
      <w:szCs w:val="24"/>
      <w:rtl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  <w:bidi/>
      <w:jc w:val="start"/>
    </w:pPr>
    <w:rPr>
      <w:rFonts w:ascii="IBM Plex Sans Arabic" w:hAnsi="IBM Plex Sans Arabic" w:cs="IBM Plex Sans Arabic"/>
      <w:sz w:val="16"/>
      <w:szCs w:val="16"/>
      <w:rtl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bidi/>
      <w:jc w:val="start"/>
    </w:pPr>
    <w:rPr>
      <w:rFonts w:ascii="IBM Plex Sans Arabic" w:hAnsi="IBM Plex Sans Arabic" w:cs="IBM Plex Sans Arabic"/>
      <w:sz w:val="20"/>
      <w:szCs w:val="20"/>
      <w:rtl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bidi/>
      <w:jc w:val="start"/>
    </w:pPr>
    <w:rPr>
      <w:rFonts w:ascii="IBM Plex Sans Arabic" w:hAnsi="IBM Plex Sans Arabic" w:cs="IBM Plex Sans Arabic"/>
      <w:i/>
      <w:iCs/>
      <w:color w:val="000000" w:themeColor="text1"/>
      <w:rtl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bidi/>
      <w:jc w:val="start"/>
    </w:pPr>
    <w:rPr>
      <w:rFonts w:ascii="IBM Plex Sans Arabic" w:hAnsi="IBM Plex Sans Arabic" w:cs="IBM Plex Sans Arabic"/>
      <w:b/>
      <w:bCs/>
      <w:color w:val="4F81BD" w:themeColor="accent1"/>
      <w:sz w:val="18"/>
      <w:szCs w:val="18"/>
      <w:rtl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  <w:bidi/>
      <w:jc w:val="start"/>
    </w:pPr>
    <w:rPr>
      <w:rFonts w:ascii="IBM Plex Sans Arabic" w:hAnsi="IBM Plex Sans Arabic" w:cs="IBM Plex Sans Arabic"/>
      <w:b/>
      <w:bCs/>
      <w:i/>
      <w:iCs/>
      <w:color w:val="4F81BD" w:themeColor="accent1"/>
      <w:rtl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  <w:bidi/>
      <w:jc w:val="start"/>
    </w:pPr>
    <w:rPr>
      <w:rFonts w:ascii="IBM Plex Sans Arabic" w:hAnsi="IBM Plex Sans Arabic" w:cs="IBM Plex Sans Arabic"/>
      <w:rtl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