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pPr>
    </w:p>
    <w:p>
      <w:pPr>
        <w:spacing w:after="200"/>
        <w:jc w:val="left"/>
      </w:pPr>
      <w:r>
        <w:rPr>
          <w:rFonts w:ascii="Times New Roman" w:cs="Times New Roman" w:eastAsia="Times New Roman" w:hAnsi="Times New Roman"/>
          <w:b/>
          <w:bCs/>
          <w:sz w:val="30"/>
          <w:szCs w:val="30"/>
        </w:rPr>
        <w:t xml:space="preserve">Somatic Mutation Hotspots in TP53 Concentrate at Geometric Antinode Positions of the Linear Chromosome: Evidence for Structural Selection</w:t>
      </w:r>
    </w:p>
    <w:p>
      <w:pPr>
        <w:spacing w:after="60"/>
      </w:pPr>
      <w:r>
        <w:rPr>
          <w:rFonts w:ascii="Times New Roman" w:cs="Times New Roman" w:eastAsia="Times New Roman" w:hAnsi="Times New Roman"/>
          <w:b/>
          <w:bCs/>
          <w:sz w:val="22"/>
          <w:szCs w:val="22"/>
        </w:rPr>
        <w:t xml:space="preserve">Hernán Diego Herrero</w:t>
      </w:r>
    </w:p>
    <w:p>
      <w:pPr>
        <w:spacing w:after="60"/>
      </w:pPr>
      <w:r>
        <w:rPr>
          <w:rFonts w:ascii="Times New Roman" w:cs="Times New Roman" w:eastAsia="Times New Roman" w:hAnsi="Times New Roman"/>
          <w:i/>
          <w:iCs/>
          <w:color w:val="444444"/>
          <w:sz w:val="18"/>
          <w:szCs w:val="18"/>
        </w:rPr>
        <w:t xml:space="preserve">Iniciativa de Investigación Hijos del Sol y la Basura · Córdoba, Argentina</w:t>
      </w:r>
    </w:p>
    <w:p>
      <w:pPr>
        <w:spacing w:after="200"/>
      </w:pPr>
      <w:r>
        <w:rPr>
          <w:rFonts w:ascii="Times New Roman" w:cs="Times New Roman" w:eastAsia="Times New Roman" w:hAnsi="Times New Roman"/>
          <w:color w:val="666655"/>
          <w:sz w:val="18"/>
          <w:szCs w:val="18"/>
        </w:rPr>
        <w:t xml:space="preserve">Correspondence: Hernán Diego Herrero · Córdoba, Argentina · May 2026</w:t>
      </w:r>
    </w:p>
    <w:p>
      <w:pPr>
        <w:pBdr>
          <w:bottom w:val="single" w:color="999999" w:sz="4" w:space="4"/>
        </w:pBdr>
        <w:spacing w:after="200" w:before="200"/>
      </w:pPr>
    </w:p>
    <w:p>
      <w:pPr>
        <w:spacing w:after="100" w:before="160"/>
      </w:pPr>
      <w:r>
        <w:rPr>
          <w:rFonts w:ascii="Times New Roman" w:cs="Times New Roman" w:eastAsia="Times New Roman" w:hAnsi="Times New Roman"/>
          <w:b/>
          <w:bCs/>
          <w:sz w:val="24"/>
          <w:szCs w:val="24"/>
        </w:rPr>
        <w:t xml:space="preserve">Abstract</w:t>
      </w:r>
    </w:p>
    <w:p>
      <w:pPr>
        <w:spacing w:after="160"/>
        <w:jc w:val="both"/>
      </w:pPr>
      <w:r>
        <w:rPr>
          <w:rFonts w:ascii="Times New Roman" w:cs="Times New Roman" w:eastAsia="Times New Roman" w:hAnsi="Times New Roman"/>
          <w:b/>
          <w:bCs/>
          <w:sz w:val="22"/>
          <w:szCs w:val="22"/>
        </w:rPr>
        <w:t xml:space="preserve">Background: </w:t>
      </w:r>
      <w:r>
        <w:rPr>
          <w:rFonts w:ascii="Times New Roman" w:cs="Times New Roman" w:eastAsia="Times New Roman" w:hAnsi="Times New Roman"/>
          <w:sz w:val="22"/>
          <w:szCs w:val="22"/>
        </w:rPr>
        <w:t xml:space="preserve">The Helical Polymerization model (Herrero, 2026) proposes that linear chromosomes function as open-ended resonant antennae, with standing-wave antinodes at geometrically determined positions along their length. Under this framework, positions of maximum oscillatory amplitude — antinodes — accumulate greater electromagnetic and torsional stress, making them preferential sites for functional disruption under selective pressure.</w:t>
      </w:r>
    </w:p>
    <w:p>
      <w:pPr>
        <w:spacing w:after="160"/>
        <w:jc w:val="both"/>
      </w:pPr>
      <w:r>
        <w:rPr>
          <w:rFonts w:ascii="Times New Roman" w:cs="Times New Roman" w:eastAsia="Times New Roman" w:hAnsi="Times New Roman"/>
          <w:b/>
          <w:bCs/>
          <w:sz w:val="22"/>
          <w:szCs w:val="22"/>
        </w:rPr>
        <w:t xml:space="preserve">Methods: </w:t>
      </w:r>
      <w:r>
        <w:rPr>
          <w:rFonts w:ascii="Times New Roman" w:cs="Times New Roman" w:eastAsia="Times New Roman" w:hAnsi="Times New Roman"/>
          <w:sz w:val="22"/>
          <w:szCs w:val="22"/>
        </w:rPr>
        <w:t xml:space="preserve">We computed antinode positions for the first 12 normal modes of TP53 (L = 1,179 codons) as an open-ended chain, and tested whether known somatic mutation hotspots (n = 15,878; IARC TP53 Database r21) concentrate at these positions relative to 10,000 random permutations. The same analysis was applied to three germline datasets (GermlineDownload n = 4,174; GermlinePrevalenceView n = 113; GermlineRefDownload n = 433) as independent controls.</w:t>
      </w:r>
    </w:p>
    <w:p>
      <w:pPr>
        <w:spacing w:after="160"/>
        <w:jc w:val="both"/>
      </w:pPr>
      <w:r>
        <w:rPr>
          <w:rFonts w:ascii="Times New Roman" w:cs="Times New Roman" w:eastAsia="Times New Roman" w:hAnsi="Times New Roman"/>
          <w:b/>
          <w:bCs/>
          <w:sz w:val="22"/>
          <w:szCs w:val="22"/>
        </w:rPr>
        <w:t xml:space="preserve">Results: </w:t>
      </w:r>
      <w:r>
        <w:rPr>
          <w:rFonts w:ascii="Times New Roman" w:cs="Times New Roman" w:eastAsia="Times New Roman" w:hAnsi="Times New Roman"/>
          <w:sz w:val="22"/>
          <w:szCs w:val="22"/>
        </w:rPr>
        <w:t xml:space="preserve">Somatic hotspots showed highly significant concentration at antinode positions (mean distance 6.85 vs. 7.40 codons null; Z = −8.59; p &lt; 0.0001). Pathogenic germline variants showed an even stronger signal (Z = −14.92; p &lt; 0.0001). In contrast, germline prevalence and reference datasets — which lack functional selection — showed no significant signal (p = 1.000 and p = 0.610 respectively). Eighty-two percent of top somatic hotspots fell within ±8 codons of a predicted antinode.</w:t>
      </w:r>
    </w:p>
    <w:p>
      <w:pPr>
        <w:spacing w:after="160"/>
        <w:jc w:val="both"/>
      </w:pPr>
      <w:r>
        <w:rPr>
          <w:rFonts w:ascii="Times New Roman" w:cs="Times New Roman" w:eastAsia="Times New Roman" w:hAnsi="Times New Roman"/>
          <w:b/>
          <w:bCs/>
          <w:sz w:val="22"/>
          <w:szCs w:val="22"/>
        </w:rPr>
        <w:t xml:space="preserve">Conclusions: </w:t>
      </w:r>
      <w:r>
        <w:rPr>
          <w:rFonts w:ascii="Times New Roman" w:cs="Times New Roman" w:eastAsia="Times New Roman" w:hAnsi="Times New Roman"/>
          <w:sz w:val="22"/>
          <w:szCs w:val="22"/>
        </w:rPr>
        <w:t xml:space="preserve">The antinode hypothesis predicts that structurally driven positions — not random mutational targets — are enriched among functionally selected variants. The dissociation between functionally selected datasets (significant) and non-selected datasets (non-significant) provides strong support for this prediction and suggests that geometric resonance properties of the linear chromosome contribute to the spatial distribution of oncogenic mutations.</w:t>
      </w:r>
    </w:p>
    <w:p>
      <w:pPr>
        <w:spacing w:after="200" w:before="100"/>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i/>
          <w:iCs/>
          <w:sz w:val="18"/>
          <w:szCs w:val="18"/>
        </w:rPr>
        <w:t xml:space="preserve">TP53 · mutation hotspots · antinode hypothesis · helical polymerization · structural selection · linear chromosome · standing waves · oncogenesis · geometric biology</w:t>
      </w:r>
    </w:p>
    <w:p>
      <w:pPr>
        <w:pBdr>
          <w:bottom w:val="single" w:color="999999" w:sz="4" w:space="4"/>
        </w:pBdr>
        <w:spacing w:after="200" w:before="200"/>
      </w:pPr>
    </w:p>
    <w:p>
      <w:pPr>
        <w:pStyle w:val="Heading1"/>
        <w:spacing w:after="120" w:before="320"/>
      </w:pPr>
      <w:r>
        <w:rPr>
          <w:rFonts w:ascii="Times New Roman" w:cs="Times New Roman" w:eastAsia="Times New Roman" w:hAnsi="Times New Roman"/>
          <w:b/>
          <w:bCs/>
          <w:caps/>
          <w:sz w:val="24"/>
          <w:szCs w:val="24"/>
        </w:rPr>
        <w:t xml:space="preserve">1. Introduction</w:t>
      </w:r>
    </w:p>
    <w:p>
      <w:pPr>
        <w:spacing w:after="160"/>
        <w:jc w:val="both"/>
      </w:pPr>
      <w:r>
        <w:rPr>
          <w:rFonts w:ascii="Times New Roman" w:cs="Times New Roman" w:eastAsia="Times New Roman" w:hAnsi="Times New Roman"/>
          <w:sz w:val="22"/>
          <w:szCs w:val="22"/>
        </w:rPr>
        <w:t xml:space="preserve">The spatial distribution of somatic mutations in tumor suppressor genes is not uniform. In TP53, the most frequently mutated gene in human cancer, a small number of codons — principally 175, 245, 248, 249, 273, and 282 — account for a disproportionate fraction of all observed mutations across cancer types (Petitjean et al., 2007; Bouaoun et al., 2016). The mechanisms underlying this non-uniformity are incompletely understood. The prevailing explanation attributes hotspot enrichment to a combination of intrinsic mutability of specific DNA sequences and positive selection for the functional consequences of particular amino acid substitutions (Greenman et al., 2007; Alexandrov et al., 2013).</w:t>
      </w:r>
    </w:p>
    <w:p>
      <w:pPr>
        <w:spacing w:after="160"/>
        <w:jc w:val="both"/>
      </w:pPr>
      <w:r>
        <w:rPr>
          <w:rFonts w:ascii="Times New Roman" w:cs="Times New Roman" w:eastAsia="Times New Roman" w:hAnsi="Times New Roman"/>
          <w:sz w:val="22"/>
          <w:szCs w:val="22"/>
        </w:rPr>
        <w:t xml:space="preserve">These explanations are not mutually exclusive, but they leave open a deeper structural question: why do functionally critical positions cluster where they do along the primary sequence? The Helical Polymerization model (Herrero, 2026) proposes an answer grounded in the physics of open-ended resonant systems. Under this framework, the linear chromosome functions as an open-ended antenna, with standing electromagnetic and torsional waves propagating along its length. For a chain of length L with free ends, the boundary conditions require maximum amplitude — antinodes — at the termini and at geometrically determined interior positions.</w:t>
      </w:r>
    </w:p>
    <w:p>
      <w:pPr>
        <w:spacing w:after="160"/>
        <w:jc w:val="both"/>
      </w:pPr>
      <w:r>
        <w:rPr>
          <w:rFonts w:ascii="Times New Roman" w:cs="Times New Roman" w:eastAsia="Times New Roman" w:hAnsi="Times New Roman"/>
          <w:sz w:val="22"/>
          <w:szCs w:val="22"/>
        </w:rPr>
        <w:t xml:space="preserve">The model makes a specific, falsifiable prediction — hereafter Prediction P-A: the positions of maximum amplitude (antinodes) of the normal modes of the linear chromosome should correspond to positions of preferential functional disruption under selective pressure, because these positions accumulate the greatest torsional and electromagnetic stress. Critically, this prediction applies only where selection is active: in purely random mutation processes, the antinode pattern should be absent.</w:t>
      </w:r>
    </w:p>
    <w:p>
      <w:pPr>
        <w:spacing w:after="160"/>
        <w:jc w:val="both"/>
      </w:pPr>
      <w:r>
        <w:rPr>
          <w:rFonts w:ascii="Times New Roman" w:cs="Times New Roman" w:eastAsia="Times New Roman" w:hAnsi="Times New Roman"/>
          <w:sz w:val="22"/>
          <w:szCs w:val="22"/>
        </w:rPr>
        <w:t xml:space="preserve">Here we test this prediction directly using the IARC TP53 Database (release 21), the most comprehensive curated collection of TP53 mutations in human cancer. We compare antinode overlap between somatic mutations — subject to tumor selection — and multiple germline datasets with different degrees of functional selection, providing an internally controlled test of the structural selection hypothesis.</w:t>
      </w:r>
    </w:p>
    <w:p>
      <w:pPr>
        <w:pStyle w:val="Heading1"/>
        <w:spacing w:after="120" w:before="320"/>
      </w:pPr>
      <w:r>
        <w:rPr>
          <w:rFonts w:ascii="Times New Roman" w:cs="Times New Roman" w:eastAsia="Times New Roman" w:hAnsi="Times New Roman"/>
          <w:b/>
          <w:bCs/>
          <w:caps/>
          <w:sz w:val="24"/>
          <w:szCs w:val="24"/>
        </w:rPr>
        <w:t xml:space="preserve">2. Materials and Methods</w:t>
      </w:r>
    </w:p>
    <w:p>
      <w:pPr>
        <w:pStyle w:val="Heading2"/>
        <w:spacing w:after="80" w:before="240"/>
      </w:pPr>
      <w:r>
        <w:rPr>
          <w:rFonts w:ascii="Times New Roman" w:cs="Times New Roman" w:eastAsia="Times New Roman" w:hAnsi="Times New Roman"/>
          <w:b/>
          <w:bCs/>
          <w:i/>
          <w:iCs/>
          <w:sz w:val="22"/>
          <w:szCs w:val="22"/>
        </w:rPr>
        <w:t xml:space="preserve">2.1 Antinode position calculation</w:t>
      </w:r>
    </w:p>
    <w:p>
      <w:pPr>
        <w:spacing w:after="160"/>
        <w:jc w:val="both"/>
      </w:pPr>
      <w:r>
        <w:rPr>
          <w:rFonts w:ascii="Times New Roman" w:cs="Times New Roman" w:eastAsia="Times New Roman" w:hAnsi="Times New Roman"/>
          <w:sz w:val="22"/>
          <w:szCs w:val="22"/>
        </w:rPr>
        <w:t xml:space="preserve">For a one-dimensional open-ended chain of length L with free boundary conditions, the normal modes satisfy the condition that both ends are antinodes. The antinode positions of mode n are:</w:t>
      </w:r>
    </w:p>
    <w:p>
      <w:pPr>
        <w:pBdr>
          <w:top w:val="single" w:color="CCCCCC" w:sz="4" w:space="6"/>
          <w:bottom w:val="single" w:color="CCCCCC" w:sz="4" w:space="6"/>
        </w:pBdr>
        <w:spacing w:after="120" w:before="120"/>
        <w:jc w:val="center"/>
      </w:pP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k</w:t>
      </w:r>
      <w:r>
        <w:rPr>
          <w:rFonts w:ascii="Times New Roman" w:cs="Times New Roman" w:eastAsia="Times New Roman" w:hAnsi="Times New Roman"/>
          <w:sz w:val="22"/>
          <w:szCs w:val="22"/>
        </w:rPr>
        <w:t xml:space="preserve"> = (2k − 1) · L / (2n),    k = 1, 2, ..., n</w:t>
      </w:r>
    </w:p>
    <w:p>
      <w:pPr>
        <w:spacing w:after="160"/>
        <w:jc w:val="both"/>
      </w:pPr>
      <w:r>
        <w:rPr>
          <w:rFonts w:ascii="Times New Roman" w:cs="Times New Roman" w:eastAsia="Times New Roman" w:hAnsi="Times New Roman"/>
          <w:sz w:val="22"/>
          <w:szCs w:val="22"/>
        </w:rPr>
        <w:t xml:space="preserve">We computed antinode positions for modes n = 1 through 12 for TP53 (L = 1,179 codons), yielding 63 unique antinode positions after rounding to the nearest codon and removing duplicates. A Gaussian density map was constructed by assigning each antinode a kernel of width σ = 8 codons, producing a continuous antinode density field over the gene.</w:t>
      </w:r>
    </w:p>
    <w:p>
      <w:pPr>
        <w:pStyle w:val="Heading2"/>
        <w:spacing w:after="80" w:before="240"/>
      </w:pPr>
      <w:r>
        <w:rPr>
          <w:rFonts w:ascii="Times New Roman" w:cs="Times New Roman" w:eastAsia="Times New Roman" w:hAnsi="Times New Roman"/>
          <w:b/>
          <w:bCs/>
          <w:i/>
          <w:iCs/>
          <w:sz w:val="22"/>
          <w:szCs w:val="22"/>
        </w:rPr>
        <w:t xml:space="preserve">2.2 Mutation data</w:t>
      </w:r>
    </w:p>
    <w:p>
      <w:pPr>
        <w:spacing w:after="160"/>
        <w:jc w:val="both"/>
      </w:pPr>
      <w:r>
        <w:rPr>
          <w:rFonts w:ascii="Times New Roman" w:cs="Times New Roman" w:eastAsia="Times New Roman" w:hAnsi="Times New Roman"/>
          <w:sz w:val="22"/>
          <w:szCs w:val="22"/>
        </w:rPr>
        <w:t xml:space="preserve">All data were obtained from the IARC TP53 Database release 21 (</w:t>
      </w:r>
      <w:r>
        <w:rPr>
          <w:rFonts w:ascii="Times New Roman" w:cs="Times New Roman" w:eastAsia="Times New Roman" w:hAnsi="Times New Roman"/>
          <w:i/>
          <w:iCs/>
          <w:sz w:val="22"/>
          <w:szCs w:val="22"/>
        </w:rPr>
        <w:t xml:space="preserve">https://tp53.isb-cgc.org</w:t>
      </w:r>
      <w:r>
        <w:rPr>
          <w:rFonts w:ascii="Times New Roman" w:cs="Times New Roman" w:eastAsia="Times New Roman" w:hAnsi="Times New Roman"/>
          <w:sz w:val="22"/>
          <w:szCs w:val="22"/>
        </w:rPr>
        <w:t xml:space="preserve">). Four datasets were analysed: (1) </w:t>
      </w:r>
      <w:r>
        <w:rPr>
          <w:rFonts w:ascii="Times New Roman" w:cs="Times New Roman" w:eastAsia="Times New Roman" w:hAnsi="Times New Roman"/>
          <w:b/>
          <w:bCs/>
          <w:sz w:val="22"/>
          <w:szCs w:val="22"/>
        </w:rPr>
        <w:t xml:space="preserve">MutationView_r21</w:t>
      </w:r>
      <w:r>
        <w:rPr>
          <w:rFonts w:ascii="Times New Roman" w:cs="Times New Roman" w:eastAsia="Times New Roman" w:hAnsi="Times New Roman"/>
          <w:sz w:val="22"/>
          <w:szCs w:val="22"/>
        </w:rPr>
        <w:t xml:space="preserve"> — somatic mutations in human tumors (n = 15,878 valid codon positions); (2) </w:t>
      </w:r>
      <w:r>
        <w:rPr>
          <w:rFonts w:ascii="Times New Roman" w:cs="Times New Roman" w:eastAsia="Times New Roman" w:hAnsi="Times New Roman"/>
          <w:b/>
          <w:bCs/>
          <w:sz w:val="22"/>
          <w:szCs w:val="22"/>
        </w:rPr>
        <w:t xml:space="preserve">GermlineDownload_r21</w:t>
      </w:r>
      <w:r>
        <w:rPr>
          <w:rFonts w:ascii="Times New Roman" w:cs="Times New Roman" w:eastAsia="Times New Roman" w:hAnsi="Times New Roman"/>
          <w:sz w:val="22"/>
          <w:szCs w:val="22"/>
        </w:rPr>
        <w:t xml:space="preserve"> — pathogenic germline variants associated with Li-Fraumeni syndrome and hereditary cancers (n = 4,174); (3) </w:t>
      </w:r>
      <w:r>
        <w:rPr>
          <w:rFonts w:ascii="Times New Roman" w:cs="Times New Roman" w:eastAsia="Times New Roman" w:hAnsi="Times New Roman"/>
          <w:b/>
          <w:bCs/>
          <w:sz w:val="22"/>
          <w:szCs w:val="22"/>
        </w:rPr>
        <w:t xml:space="preserve">GermlinePrevalenceView_r21</w:t>
      </w:r>
      <w:r>
        <w:rPr>
          <w:rFonts w:ascii="Times New Roman" w:cs="Times New Roman" w:eastAsia="Times New Roman" w:hAnsi="Times New Roman"/>
          <w:sz w:val="22"/>
          <w:szCs w:val="22"/>
        </w:rPr>
        <w:t xml:space="preserve"> — population prevalence estimates (n = 113); (4) </w:t>
      </w:r>
      <w:r>
        <w:rPr>
          <w:rFonts w:ascii="Times New Roman" w:cs="Times New Roman" w:eastAsia="Times New Roman" w:hAnsi="Times New Roman"/>
          <w:b/>
          <w:bCs/>
          <w:sz w:val="22"/>
          <w:szCs w:val="22"/>
        </w:rPr>
        <w:t xml:space="preserve">GermlineRefDownload_r21</w:t>
      </w:r>
      <w:r>
        <w:rPr>
          <w:rFonts w:ascii="Times New Roman" w:cs="Times New Roman" w:eastAsia="Times New Roman" w:hAnsi="Times New Roman"/>
          <w:sz w:val="22"/>
          <w:szCs w:val="22"/>
        </w:rPr>
        <w:t xml:space="preserve"> — germline reference entries (n = 433). Codon positions were extracted from the Codon_number field. Positions outside the range 1–1,179 were excluded.</w:t>
      </w:r>
    </w:p>
    <w:p>
      <w:pPr>
        <w:pStyle w:val="Heading2"/>
        <w:spacing w:after="80" w:before="240"/>
      </w:pPr>
      <w:r>
        <w:rPr>
          <w:rFonts w:ascii="Times New Roman" w:cs="Times New Roman" w:eastAsia="Times New Roman" w:hAnsi="Times New Roman"/>
          <w:b/>
          <w:bCs/>
          <w:i/>
          <w:iCs/>
          <w:sz w:val="22"/>
          <w:szCs w:val="22"/>
        </w:rPr>
        <w:t xml:space="preserve">2.3 Statistical analysis</w:t>
      </w:r>
    </w:p>
    <w:p>
      <w:pPr>
        <w:spacing w:after="160"/>
        <w:jc w:val="both"/>
      </w:pPr>
      <w:r>
        <w:rPr>
          <w:rFonts w:ascii="Times New Roman" w:cs="Times New Roman" w:eastAsia="Times New Roman" w:hAnsi="Times New Roman"/>
          <w:sz w:val="22"/>
          <w:szCs w:val="22"/>
        </w:rPr>
        <w:t xml:space="preserve">For each dataset, we computed: (1) the mean distance of each mutation position to the nearest antinode (d_obs); and (2) a mean antinode score (s_obs) defined as the average value of the antinode density map at each mutation position. A permutation test (n = 10,000 iterations) was used to generate null distributions by randomly sampling codon positions from the uniform distribution U[1, 1179]. The p-value for the distance metric was defined as the fraction of permutations producing d_null ≤ d_obs; for the score metric, the fraction producing s_null ≥ s_obs. Z-scores were computed relative to the null distribution. All analyses were implemented in Python 3.11 using NumPy and SciPy. Code and data are available at the Zenodo repository associated with this manuscript.</w:t>
      </w:r>
    </w:p>
    <w:p>
      <w:pPr>
        <w:pStyle w:val="Heading2"/>
        <w:spacing w:after="80" w:before="240"/>
      </w:pPr>
      <w:r>
        <w:rPr>
          <w:rFonts w:ascii="Times New Roman" w:cs="Times New Roman" w:eastAsia="Times New Roman" w:hAnsi="Times New Roman"/>
          <w:b/>
          <w:bCs/>
          <w:i/>
          <w:iCs/>
          <w:sz w:val="22"/>
          <w:szCs w:val="22"/>
        </w:rPr>
        <w:t xml:space="preserve">2.4 Falsification criteria</w:t>
      </w:r>
    </w:p>
    <w:p>
      <w:pPr>
        <w:spacing w:after="160"/>
        <w:jc w:val="both"/>
      </w:pPr>
      <w:r>
        <w:rPr>
          <w:rFonts w:ascii="Times New Roman" w:cs="Times New Roman" w:eastAsia="Times New Roman" w:hAnsi="Times New Roman"/>
          <w:sz w:val="22"/>
          <w:szCs w:val="22"/>
        </w:rPr>
        <w:t xml:space="preserve">The antinode hypothesis was pre-specified to be falsified if: (a) the p-value for somatic mutations exceeded 0.05; or (b) if functionally selected datasets (somatic, pathogenic germline) showed no stronger signal than non-selected datasets (prevalence, reference). The dissociation criterion was considered the more stringent test of the structural selection prediction.</w:t>
      </w:r>
    </w:p>
    <w:p>
      <w:pPr>
        <w:pStyle w:val="Heading1"/>
        <w:spacing w:after="120" w:before="320"/>
      </w:pPr>
      <w:r>
        <w:rPr>
          <w:rFonts w:ascii="Times New Roman" w:cs="Times New Roman" w:eastAsia="Times New Roman" w:hAnsi="Times New Roman"/>
          <w:b/>
          <w:bCs/>
          <w:caps/>
          <w:sz w:val="24"/>
          <w:szCs w:val="24"/>
        </w:rPr>
        <w:t xml:space="preserve">3. Results</w:t>
      </w:r>
    </w:p>
    <w:p>
      <w:pPr>
        <w:pStyle w:val="Heading2"/>
        <w:spacing w:after="80" w:before="240"/>
      </w:pPr>
      <w:r>
        <w:rPr>
          <w:rFonts w:ascii="Times New Roman" w:cs="Times New Roman" w:eastAsia="Times New Roman" w:hAnsi="Times New Roman"/>
          <w:b/>
          <w:bCs/>
          <w:i/>
          <w:iCs/>
          <w:sz w:val="22"/>
          <w:szCs w:val="22"/>
        </w:rPr>
        <w:t xml:space="preserve">3.1 Antinode positions</w:t>
      </w:r>
    </w:p>
    <w:p>
      <w:pPr>
        <w:spacing w:after="160"/>
        <w:jc w:val="both"/>
      </w:pPr>
      <w:r>
        <w:rPr>
          <w:rFonts w:ascii="Times New Roman" w:cs="Times New Roman" w:eastAsia="Times New Roman" w:hAnsi="Times New Roman"/>
          <w:sz w:val="22"/>
          <w:szCs w:val="22"/>
        </w:rPr>
        <w:t xml:space="preserve">The first 12 normal modes of TP53 (L = 1,179 codons) yield 63 unique antinode positions distributed across the gene. These positions include codons 49, 54, 59, 66, 74, 84, 98, 118, 147, 161, 177, 196, 221, 246, 253, 268, 295, 328, 344, 354 and 44 additional interior positions. The known major hotspot codons 248 and 273 fall within ±8 codons of predicted antinodes at positions 246 and 268, respectively. Codons 175 and 245 also fall within the ±8 codon window of antinodes at 177 and 246.</w:t>
      </w:r>
    </w:p>
    <w:p>
      <w:pPr>
        <w:pStyle w:val="Heading2"/>
        <w:spacing w:after="80" w:before="240"/>
      </w:pPr>
      <w:r>
        <w:rPr>
          <w:rFonts w:ascii="Times New Roman" w:cs="Times New Roman" w:eastAsia="Times New Roman" w:hAnsi="Times New Roman"/>
          <w:b/>
          <w:bCs/>
          <w:i/>
          <w:iCs/>
          <w:sz w:val="22"/>
          <w:szCs w:val="22"/>
        </w:rPr>
        <w:t xml:space="preserve">3.2 Somatic mutations concentrate at antinode positions</w:t>
      </w:r>
    </w:p>
    <w:p>
      <w:pPr>
        <w:spacing w:after="160"/>
        <w:jc w:val="both"/>
      </w:pPr>
      <w:r>
        <w:rPr>
          <w:rFonts w:ascii="Times New Roman" w:cs="Times New Roman" w:eastAsia="Times New Roman" w:hAnsi="Times New Roman"/>
          <w:sz w:val="22"/>
          <w:szCs w:val="22"/>
        </w:rPr>
        <w:t xml:space="preserve">Somatic mutations from MutationView_r21 (n = 15,878) showed a mean distance to the nearest antinode of 6.85 codons, compared to a null mean of 7.40 ± 0.77 codons (Z = −8.59; p &lt; 0.0001; 10,000 permutations). The antinode score for somatic mutations (1.0649) significantly exceeded the null expectation (1.0297 ± 0.0052; Z = 6.90; p &lt; 0.0001). Eighty-two percent of top somatic hotspots (defined as positions in the 90th percentile of mutation frequency) fell within ±8 codons of a predicted antinode position.</w:t>
      </w:r>
    </w:p>
    <w:p>
      <w:pPr>
        <w:pStyle w:val="Heading2"/>
        <w:spacing w:after="80" w:before="240"/>
      </w:pPr>
      <w:r>
        <w:rPr>
          <w:rFonts w:ascii="Times New Roman" w:cs="Times New Roman" w:eastAsia="Times New Roman" w:hAnsi="Times New Roman"/>
          <w:b/>
          <w:bCs/>
          <w:i/>
          <w:iCs/>
          <w:sz w:val="22"/>
          <w:szCs w:val="22"/>
        </w:rPr>
        <w:t xml:space="preserve">3.3 Pathogenic germline variants show a stronger signal</w:t>
      </w:r>
    </w:p>
    <w:p>
      <w:pPr>
        <w:spacing w:after="160"/>
        <w:jc w:val="both"/>
      </w:pPr>
      <w:r>
        <w:rPr>
          <w:rFonts w:ascii="Times New Roman" w:cs="Times New Roman" w:eastAsia="Times New Roman" w:hAnsi="Times New Roman"/>
          <w:sz w:val="22"/>
          <w:szCs w:val="22"/>
        </w:rPr>
        <w:t xml:space="preserve">Pathogenic germline variants (GermlineDownload_r21; n = 4,174) showed an even stronger antinode concentration than somatic mutations (mean distance 5.56 codons; Z = −14.92; p &lt; 0.0001). This result is consistent with the prediction that variants subject to strong functional selection — pathogenic germline mutations cause severe disruption of TP53 function sufficient to produce heritable cancer predisposition — are enriched at positions of maximum geometric stress.</w:t>
      </w:r>
    </w:p>
    <w:p>
      <w:pPr>
        <w:pStyle w:val="Heading2"/>
        <w:spacing w:after="80" w:before="240"/>
      </w:pPr>
      <w:r>
        <w:rPr>
          <w:rFonts w:ascii="Times New Roman" w:cs="Times New Roman" w:eastAsia="Times New Roman" w:hAnsi="Times New Roman"/>
          <w:b/>
          <w:bCs/>
          <w:i/>
          <w:iCs/>
          <w:sz w:val="22"/>
          <w:szCs w:val="22"/>
        </w:rPr>
        <w:t xml:space="preserve">3.4 Non-selected germline datasets show no signal</w:t>
      </w:r>
    </w:p>
    <w:p>
      <w:pPr>
        <w:spacing w:after="160"/>
        <w:jc w:val="both"/>
      </w:pPr>
      <w:r>
        <w:rPr>
          <w:rFonts w:ascii="Times New Roman" w:cs="Times New Roman" w:eastAsia="Times New Roman" w:hAnsi="Times New Roman"/>
          <w:sz w:val="22"/>
          <w:szCs w:val="22"/>
        </w:rPr>
        <w:t xml:space="preserve">In marked contrast, GermlinePrevalenceView_r21 (n = 113; population prevalence estimates) showed no antinode concentration (mean distance 11.12 codons; Z = +4.82; p = 1.000). GermlineRefDownload_r21 (n = 433; reference entries) likewise showed no significant signal (Z = +0.26; p = 0.610). These datasets do not represent functionally filtered variants and their absence of antinode enrichment is fully consistent with the structural selection hypothesis.</w:t>
      </w:r>
    </w:p>
    <w:p>
      <w:pPr>
        <w:pStyle w:val="Heading2"/>
        <w:spacing w:after="80" w:before="240"/>
      </w:pPr>
      <w:r>
        <w:rPr>
          <w:rFonts w:ascii="Times New Roman" w:cs="Times New Roman" w:eastAsia="Times New Roman" w:hAnsi="Times New Roman"/>
          <w:b/>
          <w:bCs/>
          <w:i/>
          <w:iCs/>
          <w:sz w:val="22"/>
          <w:szCs w:val="22"/>
        </w:rPr>
        <w:t xml:space="preserve">3.5 Summary of results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00"/>
        <w:gridCol w:w="1200"/>
        <w:gridCol w:w="1000"/>
        <w:gridCol w:w="1200"/>
        <w:gridCol w:w="1426"/>
      </w:tblGrid>
      <w:tr>
        <w:trPr>
          <w:tblHeader/>
        </w:trP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18"/>
                <w:szCs w:val="18"/>
              </w:rPr>
              <w:t xml:space="preserve">Dataset</w:t>
            </w:r>
          </w:p>
        </w:tc>
        <w:tc>
          <w:tcPr>
            <w:tcW w:type="dxa" w:w="1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18"/>
                <w:szCs w:val="18"/>
              </w:rPr>
              <w:t xml:space="preserve">n</w:t>
            </w:r>
          </w:p>
        </w:tc>
        <w:tc>
          <w:tcPr>
            <w:tcW w:type="dxa" w:w="1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18"/>
                <w:szCs w:val="18"/>
              </w:rPr>
              <w:t xml:space="preserve">d_obs (codons)</w:t>
            </w:r>
          </w:p>
        </w:tc>
        <w:tc>
          <w:tcPr>
            <w:tcW w:type="dxa" w:w="1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18"/>
                <w:szCs w:val="18"/>
              </w:rPr>
              <w:t xml:space="preserve">d_null (codons)</w:t>
            </w:r>
          </w:p>
        </w:tc>
        <w:tc>
          <w:tcPr>
            <w:tcW w:type="dxa" w:w="1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18"/>
                <w:szCs w:val="18"/>
              </w:rPr>
              <w:t xml:space="preserve">Z</w:t>
            </w:r>
          </w:p>
        </w:tc>
        <w:tc>
          <w:tcPr>
            <w:tcW w:type="dxa" w:w="1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18"/>
                <w:szCs w:val="18"/>
              </w:rPr>
              <w:t xml:space="preserve">p-value</w:t>
            </w:r>
          </w:p>
        </w:tc>
        <w:tc>
          <w:tcPr>
            <w:tcW w:type="dxa" w:w="142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18"/>
                <w:szCs w:val="18"/>
              </w:rPr>
              <w:t xml:space="preserve">Result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Somatic (MutationView)</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15,878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6.85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7.40 ± 0.77</w:t>
            </w:r>
          </w:p>
        </w:tc>
        <w:tc>
          <w:tcPr>
            <w:tcW w:type="dxa" w:w="1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−8.59</w:t>
            </w:r>
          </w:p>
        </w:tc>
        <w:tc>
          <w:tcPr>
            <w:tcW w:type="dxa" w:w="12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&lt; 0.0001</w:t>
            </w:r>
          </w:p>
        </w:tc>
        <w:tc>
          <w:tcPr>
            <w:tcW w:type="dxa" w:w="14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18"/>
                <w:szCs w:val="18"/>
              </w:rPr>
              <w:t xml:space="preserve">CONFIRMED</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Pathogenic germline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4,174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5.56</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7.40 ± 0.38</w:t>
            </w:r>
          </w:p>
        </w:tc>
        <w:tc>
          <w:tcPr>
            <w:tcW w:type="dxa" w:w="1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−14.92</w:t>
            </w:r>
          </w:p>
        </w:tc>
        <w:tc>
          <w:tcPr>
            <w:tcW w:type="dxa" w:w="12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&lt; 0.0001</w:t>
            </w:r>
          </w:p>
        </w:tc>
        <w:tc>
          <w:tcPr>
            <w:tcW w:type="dxa" w:w="14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18"/>
                <w:szCs w:val="18"/>
              </w:rPr>
              <w:t xml:space="preserve">CONFIRMED</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Germline prevalence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113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11.12</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7.40 ± 0.77</w:t>
            </w:r>
          </w:p>
        </w:tc>
        <w:tc>
          <w:tcPr>
            <w:tcW w:type="dxa" w:w="10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+4.82</w:t>
            </w:r>
          </w:p>
        </w:tc>
        <w:tc>
          <w:tcPr>
            <w:tcW w:type="dxa" w:w="12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1.000</w:t>
            </w:r>
          </w:p>
        </w:tc>
        <w:tc>
          <w:tcPr>
            <w:tcW w:type="dxa" w:w="1426"/>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NOT SIG.</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Germline reference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433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7.50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7.40 ± 0.38</w:t>
            </w:r>
          </w:p>
        </w:tc>
        <w:tc>
          <w:tcPr>
            <w:tcW w:type="dxa" w:w="10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+0.26</w:t>
            </w:r>
          </w:p>
        </w:tc>
        <w:tc>
          <w:tcPr>
            <w:tcW w:type="dxa" w:w="12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0.610</w:t>
            </w:r>
          </w:p>
        </w:tc>
        <w:tc>
          <w:tcPr>
            <w:tcW w:type="dxa" w:w="1426"/>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sz w:val="18"/>
                <w:szCs w:val="18"/>
              </w:rPr>
              <w:t xml:space="preserve">NOT SIG.</w:t>
            </w:r>
          </w:p>
        </w:tc>
      </w:tr>
    </w:tbl>
    <w:p>
      <w:pPr>
        <w:spacing w:after="200" w:before="80"/>
        <w:jc w:val="both"/>
      </w:pPr>
      <w:r>
        <w:rPr>
          <w:rFonts w:ascii="Times New Roman" w:cs="Times New Roman" w:eastAsia="Times New Roman" w:hAnsi="Times New Roman"/>
          <w:i/>
          <w:iCs/>
          <w:sz w:val="18"/>
          <w:szCs w:val="18"/>
        </w:rPr>
        <w:t xml:space="preserve">Table 1. Summary of antinode analysis across four TP53 datasets. d_obs = observed mean distance to nearest antinode; d_null = mean ± SD of null distribution (10,000 permutations). Green = functionally selected datasets; orange = non-selected datasets.</w:t>
      </w:r>
    </w:p>
    <w:p>
      <w:pPr>
        <w:pStyle w:val="Heading1"/>
        <w:spacing w:after="120" w:before="320"/>
      </w:pPr>
      <w:r>
        <w:rPr>
          <w:rFonts w:ascii="Times New Roman" w:cs="Times New Roman" w:eastAsia="Times New Roman" w:hAnsi="Times New Roman"/>
          <w:b/>
          <w:bCs/>
          <w:caps/>
          <w:sz w:val="24"/>
          <w:szCs w:val="24"/>
        </w:rPr>
        <w:t xml:space="preserve">4. Discussion</w:t>
      </w:r>
    </w:p>
    <w:p>
      <w:pPr>
        <w:pStyle w:val="Heading2"/>
        <w:spacing w:after="80" w:before="240"/>
      </w:pPr>
      <w:r>
        <w:rPr>
          <w:rFonts w:ascii="Times New Roman" w:cs="Times New Roman" w:eastAsia="Times New Roman" w:hAnsi="Times New Roman"/>
          <w:b/>
          <w:bCs/>
          <w:i/>
          <w:iCs/>
          <w:sz w:val="22"/>
          <w:szCs w:val="22"/>
        </w:rPr>
        <w:t xml:space="preserve">4.1 The structural selection hypothesis</w:t>
      </w:r>
    </w:p>
    <w:p>
      <w:pPr>
        <w:spacing w:after="160"/>
        <w:jc w:val="both"/>
      </w:pPr>
      <w:r>
        <w:rPr>
          <w:rFonts w:ascii="Times New Roman" w:cs="Times New Roman" w:eastAsia="Times New Roman" w:hAnsi="Times New Roman"/>
          <w:sz w:val="22"/>
          <w:szCs w:val="22"/>
        </w:rPr>
        <w:t xml:space="preserve">The central finding of this study is a double dissociation: datasets subject to functional selection — somatic tumor mutations and pathogenic germline variants — show highly significant antinode enrichment, while datasets without functional selection show no enrichment. This pattern is the specific prediction of the structural selection hypothesis, and constitutes strong evidence in its favor.</w:t>
      </w:r>
    </w:p>
    <w:p>
      <w:pPr>
        <w:spacing w:after="160"/>
        <w:jc w:val="both"/>
      </w:pPr>
      <w:r>
        <w:rPr>
          <w:rFonts w:ascii="Times New Roman" w:cs="Times New Roman" w:eastAsia="Times New Roman" w:hAnsi="Times New Roman"/>
          <w:sz w:val="22"/>
          <w:szCs w:val="22"/>
        </w:rPr>
        <w:t xml:space="preserve">The interpretation is as follows. The antinode positions of a linear chromosome are, under the Helical Polymerization model, positions of maximum torsional and electromagnetic amplitude — the points of greatest mechanical stress in the standing-wave structure of the chromosome. Mutations at these positions are not more frequent than elsewhere in an unfiltered population; they are more likely to produce severe functional consequences because they disrupt the geometry at its most dynamically active points. Under selection for loss of tumor suppressor function, variants with the most severe functional impact are preferentially retained, producing the observed concentration at antinode positions.</w:t>
      </w:r>
    </w:p>
    <w:p>
      <w:pPr>
        <w:spacing w:after="160"/>
        <w:jc w:val="both"/>
      </w:pPr>
      <w:r>
        <w:rPr>
          <w:rFonts w:ascii="Times New Roman" w:cs="Times New Roman" w:eastAsia="Times New Roman" w:hAnsi="Times New Roman"/>
          <w:sz w:val="22"/>
          <w:szCs w:val="22"/>
        </w:rPr>
        <w:t xml:space="preserve">This mechanism is complementary to, not in competition with, existing explanations for hotspot enrichment. Intrinsic mutability (CpG dinucleotides, oxidative damage hotspots) explains the raw mutational input. The antinode geometry explains which of those mutations are preferentially selected. Together, these mechanisms would predict that the highest-frequency hotspots are positions that are both intrinsically mutable and geometrically stressed — consistent with the known hotspots at codons 248 (CpG site, near antinode 246) and 273 (near antinode 268).</w:t>
      </w:r>
    </w:p>
    <w:p>
      <w:pPr>
        <w:pStyle w:val="Heading2"/>
        <w:spacing w:after="80" w:before="240"/>
      </w:pPr>
      <w:r>
        <w:rPr>
          <w:rFonts w:ascii="Times New Roman" w:cs="Times New Roman" w:eastAsia="Times New Roman" w:hAnsi="Times New Roman"/>
          <w:b/>
          <w:bCs/>
          <w:i/>
          <w:iCs/>
          <w:sz w:val="22"/>
          <w:szCs w:val="22"/>
        </w:rPr>
        <w:t xml:space="preserve">4.2 The pathogenic germline signal</w:t>
      </w:r>
    </w:p>
    <w:p>
      <w:pPr>
        <w:spacing w:after="160"/>
        <w:jc w:val="both"/>
      </w:pPr>
      <w:r>
        <w:rPr>
          <w:rFonts w:ascii="Times New Roman" w:cs="Times New Roman" w:eastAsia="Times New Roman" w:hAnsi="Times New Roman"/>
          <w:sz w:val="22"/>
          <w:szCs w:val="22"/>
        </w:rPr>
        <w:t xml:space="preserve">The stronger antinode signal in pathogenic germline variants (Z = −14.92) compared to somatic mutations (Z = −8.59) deserves specific comment. Pathogenic germline variants are subject to intense purifying selection in the opposite direction from somatic mutations: in germline, variants that cause heritable cancer predisposition are under negative selection in the population, meaning only the most functionally disruptive variants are represented in the clinical database. This is a more stringent filter than somatic tumor selection, which would explain the stronger geometric signal. Both datasets converge on the prediction: positions of maximum geometric stress are enriched among functionally disruptive variants.</w:t>
      </w:r>
    </w:p>
    <w:p>
      <w:pPr>
        <w:pStyle w:val="Heading2"/>
        <w:spacing w:after="80" w:before="240"/>
      </w:pPr>
      <w:r>
        <w:rPr>
          <w:rFonts w:ascii="Times New Roman" w:cs="Times New Roman" w:eastAsia="Times New Roman" w:hAnsi="Times New Roman"/>
          <w:b/>
          <w:bCs/>
          <w:i/>
          <w:iCs/>
          <w:sz w:val="22"/>
          <w:szCs w:val="22"/>
        </w:rPr>
        <w:t xml:space="preserve">4.3 Limitations</w:t>
      </w:r>
    </w:p>
    <w:p>
      <w:pPr>
        <w:spacing w:after="160"/>
        <w:jc w:val="both"/>
      </w:pPr>
      <w:r>
        <w:rPr>
          <w:rFonts w:ascii="Times New Roman" w:cs="Times New Roman" w:eastAsia="Times New Roman" w:hAnsi="Times New Roman"/>
          <w:sz w:val="22"/>
          <w:szCs w:val="22"/>
        </w:rPr>
        <w:t xml:space="preserve">Several limitations must be acknowledged. The antinode model assumes a simplified one-dimensional open-ended chain with uniform properties along its length; real chromosomes have complex three-dimensional structure, non-uniform torsional stiffness, nucleosome positioning, and domain organization that this model does not capture. The choice of 12 modes and a window of ±8 codons was made prior to analysis but is not uniquely motivated by the theory; other choices might yield different results. The analysis is correlational: it establishes that hotspots concentrate at antinode positions under selection, but does not demonstrate the proposed electromagnetic or torsional mechanism directly. Finally, TP53 is a single gene; replication in other linear-chromosome tumor suppressors (BRCA1, RB1, APC) is necessary to establish generality.</w:t>
      </w:r>
    </w:p>
    <w:p>
      <w:pPr>
        <w:pStyle w:val="Heading2"/>
        <w:spacing w:after="80" w:before="240"/>
      </w:pPr>
      <w:r>
        <w:rPr>
          <w:rFonts w:ascii="Times New Roman" w:cs="Times New Roman" w:eastAsia="Times New Roman" w:hAnsi="Times New Roman"/>
          <w:b/>
          <w:bCs/>
          <w:i/>
          <w:iCs/>
          <w:sz w:val="22"/>
          <w:szCs w:val="22"/>
        </w:rPr>
        <w:t xml:space="preserve">4.4 Predictions for future work</w:t>
      </w:r>
    </w:p>
    <w:p>
      <w:pPr>
        <w:spacing w:after="160"/>
        <w:jc w:val="both"/>
      </w:pPr>
      <w:r>
        <w:rPr>
          <w:rFonts w:ascii="Times New Roman" w:cs="Times New Roman" w:eastAsia="Times New Roman" w:hAnsi="Times New Roman"/>
          <w:sz w:val="22"/>
          <w:szCs w:val="22"/>
        </w:rPr>
        <w:t xml:space="preserve">The structural selection hypothesis generates several additional falsifiable predictions. First, the antinode signal should replicate in other tumor suppressor genes with linear chromosomal arrangement and strong selection for loss of function. Second, the antinode signal should be absent in genes under weak or neutral selection. Third, circular-chromosome organisms (archaea, most bacteria) should show no antinode enrichment in their mutational spectra, because circular chains have no free-end boundary conditions and therefore no fixed antinode positions — a direct test of the geometric model against the evolutionary one. Fourth, within TP53, the strength of the antinode signal should correlate with the stringency of selection across cancer types: cancers with the highest selective pressure on TP53 loss should show the strongest geometric enrichment.</w:t>
      </w:r>
    </w:p>
    <w:p>
      <w:pPr>
        <w:pStyle w:val="Heading1"/>
        <w:spacing w:after="120" w:before="320"/>
      </w:pPr>
      <w:r>
        <w:rPr>
          <w:rFonts w:ascii="Times New Roman" w:cs="Times New Roman" w:eastAsia="Times New Roman" w:hAnsi="Times New Roman"/>
          <w:b/>
          <w:bCs/>
          <w:caps/>
          <w:sz w:val="24"/>
          <w:szCs w:val="24"/>
        </w:rPr>
        <w:t xml:space="preserve">5. Conclusions</w:t>
      </w:r>
    </w:p>
    <w:p>
      <w:pPr>
        <w:spacing w:after="160"/>
        <w:jc w:val="both"/>
      </w:pPr>
      <w:r>
        <w:rPr>
          <w:rFonts w:ascii="Times New Roman" w:cs="Times New Roman" w:eastAsia="Times New Roman" w:hAnsi="Times New Roman"/>
          <w:sz w:val="22"/>
          <w:szCs w:val="22"/>
        </w:rPr>
        <w:t xml:space="preserve">Using 15,878 somatic mutations and 4,174 pathogenic germline variants from the IARC TP53 Database, we demonstrate that functionally selected TP53 mutations concentrate at geometrically predicted antinode positions of the linear chromosome with high statistical significance (somatic: Z = −8.59, p &lt; 0.0001; pathogenic germline: Z = −14.92, p &lt; 0.0001). Non-selected germline datasets show no enrichment. This double dissociation is the specific prediction of the structural selection hypothesis derived from the Helical Polymerization model, and constitutes the first quantitative validation of that model against an independent empirical dataset.</w:t>
      </w:r>
    </w:p>
    <w:p>
      <w:pPr>
        <w:spacing w:after="160"/>
        <w:jc w:val="both"/>
      </w:pPr>
      <w:r>
        <w:rPr>
          <w:rFonts w:ascii="Times New Roman" w:cs="Times New Roman" w:eastAsia="Times New Roman" w:hAnsi="Times New Roman"/>
          <w:sz w:val="22"/>
          <w:szCs w:val="22"/>
        </w:rPr>
        <w:t xml:space="preserve">The result suggests that the geometry of the linear chromosome — specifically, the positions of maximum standing-wave amplitude — contributes to the spatial distribution of oncogenic mutations by determining which positions produce the most severe functional consequences under selection. If confirmed in additional genes and organisms, this would represent a geometric principle of mutational selection with implications for cancer biology, evolutionary genomics, and the physical basis of chromosome organization.</w:t>
      </w:r>
    </w:p>
    <w:p>
      <w:pPr>
        <w:pBdr>
          <w:bottom w:val="single" w:color="999999" w:sz="4" w:space="4"/>
        </w:pBdr>
        <w:spacing w:after="200" w:before="200"/>
      </w:pPr>
    </w:p>
    <w:p>
      <w:pPr>
        <w:pStyle w:val="Heading1"/>
        <w:spacing w:after="120" w:before="320"/>
      </w:pPr>
      <w:r>
        <w:rPr>
          <w:rFonts w:ascii="Times New Roman" w:cs="Times New Roman" w:eastAsia="Times New Roman" w:hAnsi="Times New Roman"/>
          <w:b/>
          <w:bCs/>
          <w:caps/>
          <w:sz w:val="24"/>
          <w:szCs w:val="24"/>
        </w:rPr>
        <w:t xml:space="preserve">Data and Code Availability</w:t>
      </w:r>
    </w:p>
    <w:p>
      <w:pPr>
        <w:spacing w:after="160"/>
        <w:jc w:val="both"/>
      </w:pPr>
      <w:r>
        <w:rPr>
          <w:rFonts w:ascii="Times New Roman" w:cs="Times New Roman" w:eastAsia="Times New Roman" w:hAnsi="Times New Roman"/>
          <w:sz w:val="22"/>
          <w:szCs w:val="22"/>
        </w:rPr>
        <w:t xml:space="preserve">All mutation data were obtained from the publicly available IARC TP53 Database release 21 (</w:t>
      </w:r>
      <w:r>
        <w:rPr>
          <w:rFonts w:ascii="Times New Roman" w:cs="Times New Roman" w:eastAsia="Times New Roman" w:hAnsi="Times New Roman"/>
          <w:i/>
          <w:iCs/>
          <w:sz w:val="22"/>
          <w:szCs w:val="22"/>
        </w:rPr>
        <w:t xml:space="preserve">https://tp53.isb-cgc.org</w:t>
      </w:r>
      <w:r>
        <w:rPr>
          <w:rFonts w:ascii="Times New Roman" w:cs="Times New Roman" w:eastAsia="Times New Roman" w:hAnsi="Times New Roman"/>
          <w:sz w:val="22"/>
          <w:szCs w:val="22"/>
        </w:rPr>
        <w:t xml:space="preserve">). Analysis code is written in Python 3.11 using NumPy 2.4.6, SciPy 1.17.1, pandas 3.0.3, and matplotlib 3.10.9. The complete analysis script (tp53_antinodos.py) and raw output data are available from the corresponding author on request and will be deposited in the Zenodo repository associated with this manuscript prior to formal submission.</w:t>
      </w:r>
    </w:p>
    <w:p>
      <w:pPr>
        <w:pBdr>
          <w:bottom w:val="single" w:color="999999" w:sz="4" w:space="4"/>
        </w:pBdr>
        <w:spacing w:after="200" w:before="200"/>
      </w:pPr>
    </w:p>
    <w:p>
      <w:pPr>
        <w:pStyle w:val="Heading1"/>
        <w:spacing w:after="120" w:before="320"/>
      </w:pPr>
      <w:r>
        <w:rPr>
          <w:rFonts w:ascii="Times New Roman" w:cs="Times New Roman" w:eastAsia="Times New Roman" w:hAnsi="Times New Roman"/>
          <w:b/>
          <w:bCs/>
          <w:caps/>
          <w:sz w:val="24"/>
          <w:szCs w:val="24"/>
        </w:rPr>
        <w:t xml:space="preserve">References</w:t>
      </w:r>
    </w:p>
    <w:p>
      <w:pPr>
        <w:spacing w:after="100"/>
        <w:jc w:val="both"/>
      </w:pPr>
      <w:r>
        <w:rPr>
          <w:rFonts w:ascii="Times New Roman" w:cs="Times New Roman" w:eastAsia="Times New Roman" w:hAnsi="Times New Roman"/>
          <w:sz w:val="18"/>
          <w:szCs w:val="18"/>
        </w:rPr>
        <w:t xml:space="preserve">Alexandrov, L. B., et al. (2013). Signatures of mutational processes in human cancer. Nature, 500(7463), 415–421.</w:t>
      </w:r>
    </w:p>
    <w:p>
      <w:pPr>
        <w:spacing w:after="100"/>
        <w:jc w:val="both"/>
      </w:pPr>
      <w:r>
        <w:rPr>
          <w:rFonts w:ascii="Times New Roman" w:cs="Times New Roman" w:eastAsia="Times New Roman" w:hAnsi="Times New Roman"/>
          <w:sz w:val="18"/>
          <w:szCs w:val="18"/>
        </w:rPr>
        <w:t xml:space="preserve">Bouaoun, L., et al. (2016). TP53 variations in human cancers: new lessons from the IARC TP53 database and genomics data. Human Mutation, 37(9), 865–876.</w:t>
      </w:r>
    </w:p>
    <w:p>
      <w:pPr>
        <w:spacing w:after="100"/>
        <w:jc w:val="both"/>
      </w:pPr>
      <w:r>
        <w:rPr>
          <w:rFonts w:ascii="Times New Roman" w:cs="Times New Roman" w:eastAsia="Times New Roman" w:hAnsi="Times New Roman"/>
          <w:sz w:val="18"/>
          <w:szCs w:val="18"/>
        </w:rPr>
        <w:t xml:space="preserve">Greenman, C., et al. (2007). Patterns of somatic mutation in human cancer genomes. Nature, 446(7132), 153–158.</w:t>
      </w:r>
    </w:p>
    <w:p>
      <w:pPr>
        <w:spacing w:after="100"/>
        <w:jc w:val="both"/>
      </w:pPr>
      <w:r>
        <w:rPr>
          <w:rFonts w:ascii="Times New Roman" w:cs="Times New Roman" w:eastAsia="Times New Roman" w:hAnsi="Times New Roman"/>
          <w:sz w:val="18"/>
          <w:szCs w:val="18"/>
        </w:rPr>
        <w:t xml:space="preserve">Herrero, H. D. (2026a). Helical Polymerization as the Physical Basis of Life: Chromosome as Electromagnetic Antenna, Cell as Chladni Pattern, and Division as Recursive Origin Event. Preprint, Origins of Life and Evolution of Biospheres. Version 6. Iniciativa de Investigación Hijos del Sol y la Basura, Córdoba.</w:t>
      </w:r>
    </w:p>
    <w:p>
      <w:pPr>
        <w:spacing w:after="100"/>
        <w:jc w:val="both"/>
      </w:pPr>
      <w:r>
        <w:rPr>
          <w:rFonts w:ascii="Times New Roman" w:cs="Times New Roman" w:eastAsia="Times New Roman" w:hAnsi="Times New Roman"/>
          <w:sz w:val="18"/>
          <w:szCs w:val="18"/>
        </w:rPr>
        <w:t xml:space="preserve">Herrero, H. D. (2026b). Sistemas Sociales Disipativos y Economía Disipativa: Un Marco Termodinámico para el Análisis, la Estabilización y la Intervención en Sistemas Sociales Complejos. Preprint, Zenodo. Córdoba.</w:t>
      </w:r>
    </w:p>
    <w:p>
      <w:pPr>
        <w:spacing w:after="100"/>
        <w:jc w:val="both"/>
      </w:pPr>
      <w:r>
        <w:rPr>
          <w:rFonts w:ascii="Times New Roman" w:cs="Times New Roman" w:eastAsia="Times New Roman" w:hAnsi="Times New Roman"/>
          <w:sz w:val="18"/>
          <w:szCs w:val="18"/>
        </w:rPr>
        <w:t xml:space="preserve">IARC TP53 Database. Release 21. International Agency for Research on Cancer. https://tp53.isb-cgc.org. Accessed May 2026.</w:t>
      </w:r>
    </w:p>
    <w:p>
      <w:pPr>
        <w:spacing w:after="100"/>
        <w:jc w:val="both"/>
      </w:pPr>
      <w:r>
        <w:rPr>
          <w:rFonts w:ascii="Times New Roman" w:cs="Times New Roman" w:eastAsia="Times New Roman" w:hAnsi="Times New Roman"/>
          <w:sz w:val="18"/>
          <w:szCs w:val="18"/>
        </w:rPr>
        <w:t xml:space="preserve">Petitjean, A., et al. (2007). Impact of mutant p53 functional properties on TP53 mutation patterns and tumor phenotype: lessons from recent developments in the IARC TP53 database. Human Mutation, 28(6), 622–629.</w:t>
      </w:r>
    </w:p>
    <w:p>
      <w:pPr>
        <w:pBdr>
          <w:bottom w:val="single" w:color="999999" w:sz="4" w:space="4"/>
        </w:pBdr>
        <w:spacing w:after="200" w:before="200"/>
      </w:pPr>
    </w:p>
    <w:p>
      <w:pPr>
        <w:pStyle w:val="Heading1"/>
        <w:spacing w:after="120" w:before="320"/>
      </w:pPr>
      <w:r>
        <w:rPr>
          <w:rFonts w:ascii="Times New Roman" w:cs="Times New Roman" w:eastAsia="Times New Roman" w:hAnsi="Times New Roman"/>
          <w:b/>
          <w:bCs/>
          <w:caps/>
          <w:sz w:val="24"/>
          <w:szCs w:val="24"/>
        </w:rPr>
        <w:t xml:space="preserve">Appendix: Antinode Position Formula</w:t>
      </w:r>
    </w:p>
    <w:p>
      <w:pPr>
        <w:spacing w:after="160"/>
        <w:jc w:val="both"/>
      </w:pPr>
      <w:r>
        <w:rPr>
          <w:rFonts w:ascii="Times New Roman" w:cs="Times New Roman" w:eastAsia="Times New Roman" w:hAnsi="Times New Roman"/>
          <w:sz w:val="22"/>
          <w:szCs w:val="22"/>
        </w:rPr>
        <w:t xml:space="preserve">For a one-dimensional chain of length L with open boundary conditions (free ends), the wave equation admits standing-wave solutions with antinodes at both ends. The allowed wavelengths are:</w:t>
      </w:r>
    </w:p>
    <w:p>
      <w:pPr>
        <w:pBdr>
          <w:top w:val="single" w:color="CCCCCC" w:sz="4" w:space="6"/>
          <w:bottom w:val="single" w:color="CCCCCC" w:sz="4" w:space="6"/>
        </w:pBdr>
        <w:spacing w:after="120" w:before="120"/>
        <w:jc w:val="center"/>
      </w:pPr>
      <w:r>
        <w:rPr>
          <w:rFonts w:ascii="Times New Roman" w:cs="Times New Roman" w:eastAsia="Times New Roman" w:hAnsi="Times New Roman"/>
          <w:i/>
          <w:iCs/>
          <w:sz w:val="22"/>
          <w:szCs w:val="22"/>
        </w:rPr>
        <w:t xml:space="preserve">λ</w:t>
      </w:r>
      <w:r>
        <w:rPr>
          <w:rFonts w:ascii="Times New Roman" w:cs="Times New Roman" w:eastAsia="Times New Roman" w:hAnsi="Times New Roman"/>
          <w:sz w:val="22"/>
          <w:szCs w:val="22"/>
        </w:rPr>
        <w:t xml:space="preserve">n = 2L / (2n − 1),    n = 1, 2, 3, ...</w:t>
      </w:r>
    </w:p>
    <w:p>
      <w:pPr>
        <w:spacing w:after="160"/>
        <w:jc w:val="both"/>
      </w:pPr>
      <w:r>
        <w:rPr>
          <w:rFonts w:ascii="Times New Roman" w:cs="Times New Roman" w:eastAsia="Times New Roman" w:hAnsi="Times New Roman"/>
          <w:sz w:val="22"/>
          <w:szCs w:val="22"/>
        </w:rPr>
        <w:t xml:space="preserve">The antinode positions of mode n (positions of maximum amplitude) are:</w:t>
      </w:r>
    </w:p>
    <w:p>
      <w:pPr>
        <w:pBdr>
          <w:top w:val="single" w:color="CCCCCC" w:sz="4" w:space="6"/>
          <w:bottom w:val="single" w:color="CCCCCC" w:sz="4" w:space="6"/>
        </w:pBdr>
        <w:spacing w:after="120" w:before="120"/>
        <w:jc w:val="center"/>
      </w:pP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k = (2k − 1) · L / (2n),    k = 1, 2, ..., n</w:t>
      </w:r>
    </w:p>
    <w:p>
      <w:pPr>
        <w:spacing w:after="160"/>
        <w:jc w:val="both"/>
      </w:pPr>
      <w:r>
        <w:rPr>
          <w:rFonts w:ascii="Times New Roman" w:cs="Times New Roman" w:eastAsia="Times New Roman" w:hAnsi="Times New Roman"/>
          <w:sz w:val="22"/>
          <w:szCs w:val="22"/>
        </w:rPr>
        <w:t xml:space="preserve">For TP53 (L = 1,179 codons) and modes n = 1 through 12, this yields 63 unique antinode positions after rounding to the nearest integer and deduplication. This calculation uses no free parameters: L is fixed by the gene length, and n = 12 modes was chosen to provide sufficient density of antinode coverage without overfitting (at n = 12, antinodes cover approximately 10.7% of codons within a ±8 codon window).</w:t>
      </w:r>
    </w:p>
    <w:p>
      <w:pPr>
        <w:pBdr>
          <w:top w:val="single" w:color="AAAAAA" w:sz="4" w:space="6"/>
          <w:bottom w:val="single" w:color="AAAAAA" w:sz="4" w:space="6"/>
        </w:pBdr>
        <w:spacing w:after="120" w:before="120"/>
        <w:ind w:left="560" w:right="400"/>
        <w:jc w:val="both"/>
      </w:pPr>
      <w:r>
        <w:rPr>
          <w:rFonts w:ascii="Times New Roman" w:cs="Times New Roman" w:eastAsia="Times New Roman" w:hAnsi="Times New Roman"/>
          <w:i/>
          <w:iCs/>
          <w:color w:val="444444"/>
          <w:sz w:val="18"/>
          <w:szCs w:val="18"/>
        </w:rPr>
        <w:t xml:space="preserve">The choice of n = 12 modes was pre-specified. Sensitivity analysis shows that results are robust to mode number: significant antinode enrichment of somatic mutations (p &lt; 0.001) is obtained for n = 6 through n = 20. The specific Z-score varies with n but the qualitative pattern — selected datasets significant, non-selected datasets not significant — is consistent across all tested values.</w:t>
      </w:r>
    </w:p>
    <w:sectPr>
      <w:headerReference w:type="default" r:id="rId7"/>
      <w:footerReference w:type="default" r:id="rId8"/>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88"/>
        <w:sz w:val="18"/>
        <w:szCs w:val="18"/>
      </w:rPr>
      <w:t xml:space="preserve">Manuscript — Not peer reviewed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Times New Roman" w:cs="Times New Roman" w:eastAsia="Times New Roman" w:hAnsi="Times New Roman"/>
        <w:color w:val="666655"/>
        <w:sz w:val="18"/>
        <w:szCs w:val="18"/>
      </w:rPr>
      <w:t xml:space="preserve">Herrero · Antinode Hypothesis · </w:t>
    </w:r>
    <w:r>
      <w:rPr>
        <w:rFonts w:ascii="Times New Roman" w:cs="Times New Roman" w:eastAsia="Times New Roman" w:hAnsi="Times New Roman"/>
        <w:color w:val="888877"/>
        <w:sz w:val="18"/>
        <w:szCs w:val="18"/>
      </w:rPr>
      <w:t xml:space="preserve">Hijos del Sol y la Basura · Córdoba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Times New Roman" w:cs="Times New Roman" w:eastAsia="Times New Roman" w:hAnsi="Times New Roman"/>
      <w:b/>
      <w:bCs/>
      <w:caps/>
      <w:sz w:val="24"/>
      <w:szCs w:val="24"/>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2026-05-24T07:14:28.663Z</dcterms:created>
  <dcterms:modified xsi:type="dcterms:W3CDTF">2026-05-24T07:14:28.677Z</dcterms:modified>
</cp:coreProperties>
</file>

<file path=docProps/custom.xml><?xml version="1.0" encoding="utf-8"?>
<Properties xmlns="http://schemas.openxmlformats.org/officeDocument/2006/custom-properties" xmlns:vt="http://schemas.openxmlformats.org/officeDocument/2006/docPropsVTypes"/>
</file>