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40" w:before="0"/>
        <w:jc w:val="center"/>
      </w:pPr>
      <w:r>
        <w:rPr>
          <w:rFonts w:ascii="Times New Roman" w:cs="Times New Roman" w:eastAsia="Times New Roman" w:hAnsi="Times New Roman"/>
          <w:b/>
          <w:bCs/>
          <w:color w:val="111111"/>
          <w:sz w:val="36"/>
          <w:szCs w:val="36"/>
        </w:rPr>
        <w:t xml:space="preserve">Helical Polymerization as Continuous Origin of Life:</w:t>
      </w:r>
    </w:p>
    <w:p>
      <w:pPr>
        <w:spacing w:after="20" w:before="0"/>
        <w:jc w:val="center"/>
      </w:pPr>
      <w:r>
        <w:rPr>
          <w:rFonts w:ascii="Times New Roman" w:cs="Times New Roman" w:eastAsia="Times New Roman" w:hAnsi="Times New Roman"/>
          <w:b w:val="false"/>
          <w:bCs w:val="false"/>
          <w:color w:val="1B4F72"/>
          <w:sz w:val="28"/>
          <w:szCs w:val="28"/>
        </w:rPr>
        <w:t xml:space="preserve">A Falsifiable Model Unifying Prebiotic Chemistry,</w:t>
      </w:r>
    </w:p>
    <w:p>
      <w:pPr>
        <w:spacing w:after="80" w:before="0"/>
        <w:jc w:val="center"/>
      </w:pPr>
      <w:r>
        <w:rPr>
          <w:rFonts w:ascii="Times New Roman" w:cs="Times New Roman" w:eastAsia="Times New Roman" w:hAnsi="Times New Roman"/>
          <w:b w:val="false"/>
          <w:bCs w:val="false"/>
          <w:color w:val="1B4F72"/>
          <w:sz w:val="28"/>
          <w:szCs w:val="28"/>
        </w:rPr>
        <w:t xml:space="preserve">Viral Genesis and Evolutionary Divergence</w:t>
      </w:r>
    </w:p>
    <w:p>
      <w:pPr>
        <w:pBdr>
          <w:bottom w:val="single" w:color="AAAAAA" w:sz="1" w:space="1"/>
        </w:pBdr>
        <w:spacing w:after="240" w:before="240"/>
      </w:pPr>
    </w:p>
    <w:p>
      <w:pPr>
        <w:spacing w:after="20" w:before="40"/>
        <w:jc w:val="center"/>
      </w:pPr>
      <w:r>
        <w:rPr>
          <w:rFonts w:ascii="Times New Roman" w:cs="Times New Roman" w:eastAsia="Times New Roman" w:hAnsi="Times New Roman"/>
          <w:b/>
          <w:bCs/>
          <w:color w:val="111111"/>
          <w:sz w:val="24"/>
          <w:szCs w:val="24"/>
        </w:rPr>
        <w:t xml:space="preserve">Hernán Diego Herrero</w:t>
      </w:r>
    </w:p>
    <w:p>
      <w:pPr>
        <w:spacing w:after="10" w:before="0"/>
        <w:jc w:val="center"/>
      </w:pPr>
      <w:r>
        <w:rPr>
          <w:rFonts w:ascii="Times New Roman" w:cs="Times New Roman" w:eastAsia="Times New Roman" w:hAnsi="Times New Roman"/>
          <w:b w:val="false"/>
          <w:bCs w:val="false"/>
          <w:color w:val="5D6D7E"/>
          <w:sz w:val="22"/>
          <w:szCs w:val="22"/>
        </w:rPr>
        <w:t xml:space="preserve">Independent Researcher — Hijos de la Basura Research Initiative</w:t>
      </w:r>
    </w:p>
    <w:p>
      <w:pPr>
        <w:spacing w:after="10" w:before="0"/>
        <w:jc w:val="center"/>
      </w:pPr>
      <w:r>
        <w:rPr>
          <w:rFonts w:ascii="Times New Roman" w:cs="Times New Roman" w:eastAsia="Times New Roman" w:hAnsi="Times New Roman"/>
          <w:b w:val="false"/>
          <w:bCs w:val="false"/>
          <w:color w:val="5D6D7E"/>
          <w:sz w:val="22"/>
          <w:szCs w:val="22"/>
        </w:rPr>
        <w:t xml:space="preserve">Córdoba, Argentina</w:t>
      </w:r>
    </w:p>
    <w:p>
      <w:pPr>
        <w:spacing w:after="40" w:before="0"/>
        <w:jc w:val="center"/>
      </w:pPr>
      <w:r>
        <w:rPr>
          <w:rFonts w:ascii="Times New Roman" w:cs="Times New Roman" w:eastAsia="Times New Roman" w:hAnsi="Times New Roman"/>
          <w:b w:val="false"/>
          <w:bCs w:val="false"/>
          <w:color w:val="8892a4"/>
          <w:sz w:val="20"/>
          <w:szCs w:val="20"/>
        </w:rPr>
        <w:t xml:space="preserve">Correspondence: hidiegoh@gmail.com  (placeholder — update before submission)</w:t>
      </w:r>
    </w:p>
    <w:p>
      <w:pPr>
        <w:spacing w:after="20" w:before="0"/>
        <w:jc w:val="center"/>
      </w:pPr>
      <w:r>
        <w:rPr>
          <w:rFonts w:ascii="Times New Roman" w:cs="Times New Roman" w:eastAsia="Times New Roman" w:hAnsi="Times New Roman"/>
          <w:b w:val="false"/>
          <w:bCs w:val="false"/>
          <w:color w:val="8892a4"/>
          <w:sz w:val="20"/>
          <w:szCs w:val="20"/>
        </w:rPr>
        <w:t xml:space="preserve">Submitted to: Origins of Life and Evolution of Biospheres — April 2026</w:t>
      </w:r>
    </w:p>
    <w:p>
      <w:pPr>
        <w:spacing w:after="60" w:before="0"/>
        <w:jc w:val="center"/>
      </w:pPr>
      <w:r>
        <w:rPr>
          <w:rFonts w:ascii="Times New Roman" w:cs="Times New Roman" w:eastAsia="Times New Roman" w:hAnsi="Times New Roman"/>
          <w:b w:val="false"/>
          <w:bCs w:val="false"/>
          <w:color w:val="8892a4"/>
          <w:sz w:val="20"/>
          <w:szCs w:val="20"/>
        </w:rPr>
        <w:t xml:space="preserve">Preprint — not yet peer reviewed</w:t>
      </w:r>
    </w:p>
    <w:p>
      <w:pPr>
        <w:pBdr>
          <w:bottom w:val="single" w:color="AAAAAA" w:sz="1" w:space="1"/>
        </w:pBdr>
        <w:spacing w:after="240" w:before="240"/>
      </w:pP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Abstract</w:t>
      </w:r>
    </w:p>
    <w:p>
      <w:pPr>
        <w:spacing w:after="160" w:before="0"/>
      </w:pPr>
      <w:r>
        <w:rPr>
          <w:rFonts w:ascii="Times New Roman" w:cs="Times New Roman" w:eastAsia="Times New Roman" w:hAnsi="Times New Roman"/>
          <w:color w:val="111111"/>
          <w:sz w:val="24"/>
          <w:szCs w:val="24"/>
        </w:rPr>
        <w:t xml:space="preserve">Current models of abiogenesis face three unresolved problems: (1) the chicken-and-egg paradox of DNA replication requiring pre-existing proteins; (2) the speed of post-extinction biotic recovery, which exceeds what reproductive propagation alone can explain; and (3) the radical architectural divergence between archaea and bacteria, which is inconsistent with descent from a single common ancestor. We propose a falsifiable model in which the primary event of life is not cellular assembly but helical polymerization: the spontaneous formation of a helical polymer geometry that resonates with ambient electromagnetic fields, initiating a self-accelerating chain reaction. Under this model, the chromosome is the primary biological unit, not the cell. The cell is the Chladni-type energy dispersal pattern generated by the oscillating helix. Two independent triggering mechanisms are proposed: (1) thermal induction in anaerobic ammonia-rich environments, corresponding to archaeal origin; and (2) UV-induced cooperative polymerization at carbonic acid interfaces, corresponding to bacterial origin. Viral particles are modeled as interrupted helical polymerization events — incomplete chromosomes that failed to reach the length threshold required for full cellular pattern generation. Five falsifiable predictions are presented with specific experimental protocols accessible with standard biophysics laboratory equipment. The model is submitted not as established fact but as a hypothesis that explains more anomalies than current frameworks, in strict accordance with Popperian falsificationism.</w:t>
      </w:r>
    </w:p>
    <w:p>
      <w:pPr>
        <w:spacing w:after="0" w:before="80"/>
      </w:pPr>
    </w:p>
    <w:p>
      <w:pPr>
        <w:spacing w:after="160" w:before="0"/>
      </w:pPr>
      <w:r>
        <w:rPr>
          <w:rFonts w:ascii="Times New Roman" w:cs="Times New Roman" w:eastAsia="Times New Roman" w:hAnsi="Times New Roman"/>
          <w:color w:val="111111"/>
          <w:sz w:val="24"/>
          <w:szCs w:val="24"/>
        </w:rPr>
        <w:t xml:space="preserve">Keywords: abiogenesis, helical polymerization, origin of life, electromagnetic induction, viral origin, cooperative assembly, Chladni patterns, falsificationism, archaea-bacteria divergence</w:t>
      </w:r>
    </w:p>
    <w:p>
      <w:pPr>
        <w:spacing w:after="0" w:before="160"/>
      </w:pPr>
    </w:p>
    <w:p>
      <w:pPr>
        <w:pStyle w:val="Heading1"/>
        <w:spacing w:after="160" w:before="400"/>
      </w:pPr>
      <w:r>
        <w:rPr>
          <w:rFonts w:ascii="Times New Roman" w:cs="Times New Roman" w:eastAsia="Times New Roman" w:hAnsi="Times New Roman"/>
          <w:b/>
          <w:bCs/>
          <w:caps/>
          <w:color w:val="111111"/>
          <w:sz w:val="24"/>
          <w:szCs w:val="24"/>
        </w:rPr>
        <w:t xml:space="preserve">1. Introduction</w:t>
      </w:r>
    </w:p>
    <w:p>
      <w:pPr>
        <w:spacing w:after="160" w:before="0"/>
        <w:ind w:firstLine="720"/>
      </w:pPr>
      <w:r>
        <w:rPr>
          <w:rFonts w:ascii="Times New Roman" w:cs="Times New Roman" w:eastAsia="Times New Roman" w:hAnsi="Times New Roman"/>
          <w:color w:val="111111"/>
          <w:sz w:val="24"/>
          <w:szCs w:val="24"/>
        </w:rPr>
        <w:t xml:space="preserve">The origin of life remains one of the most contested problems in science. Despite decades of experimental progress following Miller and Urey (1953), no model has successfully bridged the gap between prebiotic chemistry and the first self-replicating biological unit. Three anomalies in particular resist explanation within current frameworks.</w:t>
      </w:r>
    </w:p>
    <w:p>
      <w:pPr>
        <w:pStyle w:val="Heading2"/>
        <w:spacing w:after="100" w:before="240"/>
      </w:pPr>
      <w:r>
        <w:rPr>
          <w:rFonts w:ascii="Times New Roman" w:cs="Times New Roman" w:eastAsia="Times New Roman" w:hAnsi="Times New Roman"/>
          <w:b/>
          <w:bCs/>
          <w:color w:val="111111"/>
          <w:sz w:val="24"/>
          <w:szCs w:val="24"/>
        </w:rPr>
        <w:t xml:space="preserve">1.1 The DNA-Protein Paradox</w:t>
      </w:r>
    </w:p>
    <w:p>
      <w:pPr>
        <w:spacing w:after="160" w:before="0"/>
        <w:ind w:firstLine="720"/>
      </w:pPr>
      <w:r>
        <w:rPr>
          <w:rFonts w:ascii="Times New Roman" w:cs="Times New Roman" w:eastAsia="Times New Roman" w:hAnsi="Times New Roman"/>
          <w:color w:val="111111"/>
          <w:sz w:val="24"/>
          <w:szCs w:val="24"/>
        </w:rPr>
        <w:t xml:space="preserve">DNA replication requires protein enzymes. Protein synthesis requires DNA templates. No known chemical pathway resolves this circularity without invoking a pre-existing biological infrastructure that itself requires explanation (Orgel, 2004). RNA world hypotheses partially address this but introduce their own unresolved dependencies regarding the origin of catalytic RNA in a prebiotically plausible environment.</w:t>
      </w:r>
    </w:p>
    <w:p>
      <w:pPr>
        <w:pStyle w:val="Heading2"/>
        <w:spacing w:after="100" w:before="240"/>
      </w:pPr>
      <w:r>
        <w:rPr>
          <w:rFonts w:ascii="Times New Roman" w:cs="Times New Roman" w:eastAsia="Times New Roman" w:hAnsi="Times New Roman"/>
          <w:b/>
          <w:bCs/>
          <w:color w:val="111111"/>
          <w:sz w:val="24"/>
          <w:szCs w:val="24"/>
        </w:rPr>
        <w:t xml:space="preserve">1.2 The Speed of Post-Extinction Recovery</w:t>
      </w:r>
    </w:p>
    <w:p>
      <w:pPr>
        <w:spacing w:after="160" w:before="0"/>
        <w:ind w:firstLine="720"/>
      </w:pPr>
      <w:r>
        <w:rPr>
          <w:rFonts w:ascii="Times New Roman" w:cs="Times New Roman" w:eastAsia="Times New Roman" w:hAnsi="Times New Roman"/>
          <w:color w:val="111111"/>
          <w:sz w:val="24"/>
          <w:szCs w:val="24"/>
        </w:rPr>
        <w:t xml:space="preserve">The fossil record shows biotic recovery following mass extinction events at rates inconsistent with reproductive propagation from surviving populations alone. The Cambrian explosion produced most known animal body plans within a geologically brief window of approximately 20 million years (Conway Morris, 2006). The rapidity of these events suggests mechanisms beyond gradual mutation accumulation and selection.</w:t>
      </w:r>
    </w:p>
    <w:p>
      <w:pPr>
        <w:pStyle w:val="Heading2"/>
        <w:spacing w:after="100" w:before="240"/>
      </w:pPr>
      <w:r>
        <w:rPr>
          <w:rFonts w:ascii="Times New Roman" w:cs="Times New Roman" w:eastAsia="Times New Roman" w:hAnsi="Times New Roman"/>
          <w:b/>
          <w:bCs/>
          <w:color w:val="111111"/>
          <w:sz w:val="24"/>
          <w:szCs w:val="24"/>
        </w:rPr>
        <w:t xml:space="preserve">1.3 Archaea-Bacteria Architectural Divergence</w:t>
      </w:r>
    </w:p>
    <w:p>
      <w:pPr>
        <w:spacing w:after="160" w:before="0"/>
        <w:ind w:firstLine="720"/>
      </w:pPr>
      <w:r>
        <w:rPr>
          <w:rFonts w:ascii="Times New Roman" w:cs="Times New Roman" w:eastAsia="Times New Roman" w:hAnsi="Times New Roman"/>
          <w:color w:val="111111"/>
          <w:sz w:val="24"/>
          <w:szCs w:val="24"/>
        </w:rPr>
        <w:t xml:space="preserve">Archaea and bacteria share a near-universal genetic code yet display fundamentally different membrane architectures. Archaeal membranes use isoprenoid ether lipids assembled in mirror-image configuration relative to bacterial ester-linked fatty acid membranes (Koga, 2012). This is not a minor variation. It represents a deep architectural difference inconsistent with close common ancestry. Current models explain this as early divergence from a last universal common ancestor (LUCA), but the nature and timing of that divergence remains unresolved.</w:t>
      </w:r>
    </w:p>
    <w:p>
      <w:pPr>
        <w:pStyle w:val="Heading2"/>
        <w:spacing w:after="100" w:before="240"/>
      </w:pPr>
      <w:r>
        <w:rPr>
          <w:rFonts w:ascii="Times New Roman" w:cs="Times New Roman" w:eastAsia="Times New Roman" w:hAnsi="Times New Roman"/>
          <w:b/>
          <w:bCs/>
          <w:color w:val="111111"/>
          <w:sz w:val="24"/>
          <w:szCs w:val="24"/>
        </w:rPr>
        <w:t xml:space="preserve">1.4 Scope of This Paper</w:t>
      </w:r>
    </w:p>
    <w:p>
      <w:pPr>
        <w:spacing w:after="160" w:before="0"/>
        <w:ind w:firstLine="720"/>
      </w:pPr>
      <w:r>
        <w:rPr>
          <w:rFonts w:ascii="Times New Roman" w:cs="Times New Roman" w:eastAsia="Times New Roman" w:hAnsi="Times New Roman"/>
          <w:color w:val="111111"/>
          <w:sz w:val="24"/>
          <w:szCs w:val="24"/>
        </w:rPr>
        <w:t xml:space="preserve">We propose a model in which these three anomalies are consequences of the same underlying physical mechanism: helical polymerization driven by electromagnetic field resonance, operating continuously rather than as a singular historical event. The model makes specific, testable predictions and is presented explicitly as a falsifiable hypothesis, not as established theory.</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2. Theoretical Framework</w:t>
      </w:r>
    </w:p>
    <w:p>
      <w:pPr>
        <w:pStyle w:val="Heading2"/>
        <w:spacing w:after="100" w:before="240"/>
      </w:pPr>
      <w:r>
        <w:rPr>
          <w:rFonts w:ascii="Times New Roman" w:cs="Times New Roman" w:eastAsia="Times New Roman" w:hAnsi="Times New Roman"/>
          <w:b/>
          <w:bCs/>
          <w:color w:val="111111"/>
          <w:sz w:val="24"/>
          <w:szCs w:val="24"/>
        </w:rPr>
        <w:t xml:space="preserve">2.1 The Helix as Primary Electromagnetic Dissipator</w:t>
      </w:r>
    </w:p>
    <w:p>
      <w:pPr>
        <w:spacing w:after="160" w:before="0"/>
        <w:ind w:firstLine="720"/>
      </w:pPr>
      <w:r>
        <w:rPr>
          <w:rFonts w:ascii="Times New Roman" w:cs="Times New Roman" w:eastAsia="Times New Roman" w:hAnsi="Times New Roman"/>
          <w:color w:val="111111"/>
          <w:sz w:val="24"/>
          <w:szCs w:val="24"/>
        </w:rPr>
        <w:t xml:space="preserve">We propose that the helix is not primarily an information storage geometry but an electromagnetic energy dissipation geometry. This is consistent with the known property of DNA as an exceptionally efficient UV absorber and dissipator (Middleton et al., 2009). Under this framework, the helix forms not because it encodes information but because it is the optimal geometry for dissipating incident electromagnetic energy in an aqueous medium.</w:t>
      </w:r>
    </w:p>
    <w:p>
      <w:pPr>
        <w:spacing w:after="160" w:before="0"/>
        <w:ind w:firstLine="720"/>
      </w:pPr>
      <w:r>
        <w:rPr>
          <w:rFonts w:ascii="Times New Roman" w:cs="Times New Roman" w:eastAsia="Times New Roman" w:hAnsi="Times New Roman"/>
          <w:color w:val="111111"/>
          <w:sz w:val="24"/>
          <w:szCs w:val="24"/>
        </w:rPr>
        <w:t xml:space="preserve">In radiofrequency engineering, helical antenna geometry captures and emits signals with circular polarization. The DNA double helix shares this exact geometry. We propose this is not coincidental but physically necessary: the helix is the stable attractor geometry for electromagnetic energy dissipation in polar molecular chains.</w:t>
      </w:r>
    </w:p>
    <w:p>
      <w:pPr>
        <w:pStyle w:val="Heading2"/>
        <w:spacing w:after="100" w:before="240"/>
      </w:pPr>
      <w:r>
        <w:rPr>
          <w:rFonts w:ascii="Times New Roman" w:cs="Times New Roman" w:eastAsia="Times New Roman" w:hAnsi="Times New Roman"/>
          <w:b/>
          <w:bCs/>
          <w:color w:val="111111"/>
          <w:sz w:val="24"/>
          <w:szCs w:val="24"/>
        </w:rPr>
        <w:t xml:space="preserve">2.2 Two Independent Triggering Mechanisms</w:t>
      </w:r>
    </w:p>
    <w:p>
      <w:pPr>
        <w:spacing w:after="160" w:before="0"/>
        <w:ind w:firstLine="720"/>
      </w:pPr>
      <w:r>
        <w:rPr>
          <w:rFonts w:ascii="Times New Roman" w:cs="Times New Roman" w:eastAsia="Times New Roman" w:hAnsi="Times New Roman"/>
          <w:color w:val="111111"/>
          <w:sz w:val="24"/>
          <w:szCs w:val="24"/>
        </w:rPr>
        <w:t xml:space="preserve">The model proposes two physically distinct pathways to helical polymerization, corresponding to two distinct prebiotic environments:</w:t>
      </w:r>
    </w:p>
    <w:p>
      <w:pPr>
        <w:spacing w:after="160" w:before="0"/>
        <w:ind w:firstLine="720"/>
      </w:pPr>
      <w:r>
        <w:rPr>
          <w:rFonts w:ascii="Times New Roman" w:cs="Times New Roman" w:eastAsia="Times New Roman" w:hAnsi="Times New Roman"/>
          <w:color w:val="111111"/>
          <w:sz w:val="24"/>
          <w:szCs w:val="24"/>
        </w:rPr>
        <w:t xml:space="preserve">Pathway 1 — Thermal induction (anaerobic): In hydrothermal environments rich in ammonia (NH3), thermal agitation of nitrogen-containing precursors reaches a threshold where cooperative helical stacking becomes energetically favorable. The nitrogen atom acts as a bridge between carbon precursors. The helix forms as a thermal dissipation valve. This pathway is proposed as the origin of archaeal cellular architecture.</w:t>
      </w:r>
    </w:p>
    <w:p>
      <w:pPr>
        <w:spacing w:after="160" w:before="0"/>
        <w:ind w:firstLine="720"/>
      </w:pPr>
      <w:r>
        <w:rPr>
          <w:rFonts w:ascii="Times New Roman" w:cs="Times New Roman" w:eastAsia="Times New Roman" w:hAnsi="Times New Roman"/>
          <w:color w:val="111111"/>
          <w:sz w:val="24"/>
          <w:szCs w:val="24"/>
        </w:rPr>
        <w:t xml:space="preserve">Pathway 2 — UV-induced cooperative polymerization (aerobic interface): At the interface between carbonic acid solution (dissolved CO2 in surface water) and ammonia-containing subsurface water, under incident UV radiation, cooperative helical polymerization is induced by photon absorption. UV photons excite electron configurations in carbon precursors, creating transient dipoles that align into helical stacking geometry. This pathway is proposed as the origin of bacterial cellular architecture.</w:t>
      </w:r>
    </w:p>
    <w:p>
      <w:pPr>
        <w:spacing w:after="160" w:before="0"/>
        <w:ind w:firstLine="720"/>
      </w:pPr>
      <w:r>
        <w:rPr>
          <w:rFonts w:ascii="Times New Roman" w:cs="Times New Roman" w:eastAsia="Times New Roman" w:hAnsi="Times New Roman"/>
          <w:color w:val="111111"/>
          <w:sz w:val="24"/>
          <w:szCs w:val="24"/>
        </w:rPr>
        <w:t xml:space="preserve">The architectural difference between archaeal and bacterial membranes is proposed as a consequence of these distinct formation environments, not as a result of divergence from a common ancestor.</w:t>
      </w:r>
    </w:p>
    <w:p>
      <w:pPr>
        <w:pStyle w:val="Heading2"/>
        <w:spacing w:after="100" w:before="240"/>
      </w:pPr>
      <w:r>
        <w:rPr>
          <w:rFonts w:ascii="Times New Roman" w:cs="Times New Roman" w:eastAsia="Times New Roman" w:hAnsi="Times New Roman"/>
          <w:b/>
          <w:bCs/>
          <w:color w:val="111111"/>
          <w:sz w:val="24"/>
          <w:szCs w:val="24"/>
        </w:rPr>
        <w:t xml:space="preserve">2.3 The Whip-Crack Mechanism: Chromosome as Primary Unit</w:t>
      </w:r>
    </w:p>
    <w:p>
      <w:pPr>
        <w:spacing w:after="160" w:before="0"/>
        <w:ind w:firstLine="720"/>
      </w:pPr>
      <w:r>
        <w:rPr>
          <w:rFonts w:ascii="Times New Roman" w:cs="Times New Roman" w:eastAsia="Times New Roman" w:hAnsi="Times New Roman"/>
          <w:color w:val="111111"/>
          <w:sz w:val="24"/>
          <w:szCs w:val="24"/>
        </w:rPr>
        <w:t xml:space="preserve">Once initiated, helical polymerization does not proceed gradually. We propose it propagates as a chain reaction analogous to cooperative polymerization in liquid crystal systems (Palmans and Meijer, 2007), where the formation of the first complete helical turn creates an energetic gradient that drives rapid extension of the chain. The propagation speed approaches that of the electromagnetic wave in the medium.</w:t>
      </w:r>
    </w:p>
    <w:p>
      <w:pPr>
        <w:spacing w:after="160" w:before="0"/>
        <w:ind w:firstLine="720"/>
      </w:pPr>
      <w:r>
        <w:rPr>
          <w:rFonts w:ascii="Times New Roman" w:cs="Times New Roman" w:eastAsia="Times New Roman" w:hAnsi="Times New Roman"/>
          <w:color w:val="111111"/>
          <w:sz w:val="24"/>
          <w:szCs w:val="24"/>
        </w:rPr>
        <w:t xml:space="preserve">This chain reaction is herein termed the whip-crack mechanism: an extremely rapid, near-instantaneous propagation of helical order through available precursor material. The chromosome — the complete helical polymer — is therefore the primary biological unit. The cell is the Chladni-type dispersal pattern generated by the oscillating chromosome organizing surrounding medium into membrane and cytoplasmic components.</w:t>
      </w:r>
    </w:p>
    <w:p>
      <w:pPr>
        <w:spacing w:after="160" w:before="0"/>
        <w:ind w:firstLine="720"/>
      </w:pPr>
      <w:r>
        <w:rPr>
          <w:rFonts w:ascii="Times New Roman" w:cs="Times New Roman" w:eastAsia="Times New Roman" w:hAnsi="Times New Roman"/>
          <w:color w:val="111111"/>
          <w:sz w:val="24"/>
          <w:szCs w:val="24"/>
        </w:rPr>
        <w:t xml:space="preserve">This inverts the conventional assumption. The cell does not contain the chromosome. The chromosome generates the cell.</w:t>
      </w:r>
    </w:p>
    <w:p>
      <w:pPr>
        <w:pStyle w:val="Heading2"/>
        <w:spacing w:after="100" w:before="240"/>
      </w:pPr>
      <w:r>
        <w:rPr>
          <w:rFonts w:ascii="Times New Roman" w:cs="Times New Roman" w:eastAsia="Times New Roman" w:hAnsi="Times New Roman"/>
          <w:b/>
          <w:bCs/>
          <w:color w:val="111111"/>
          <w:sz w:val="24"/>
          <w:szCs w:val="24"/>
        </w:rPr>
        <w:t xml:space="preserve">2.4 Viral Particles as Interrupted Polymerization Events</w:t>
      </w:r>
    </w:p>
    <w:p>
      <w:pPr>
        <w:spacing w:after="160" w:before="0"/>
        <w:ind w:firstLine="720"/>
      </w:pPr>
      <w:r>
        <w:rPr>
          <w:rFonts w:ascii="Times New Roman" w:cs="Times New Roman" w:eastAsia="Times New Roman" w:hAnsi="Times New Roman"/>
          <w:color w:val="111111"/>
          <w:sz w:val="24"/>
          <w:szCs w:val="24"/>
        </w:rPr>
        <w:t xml:space="preserve">Under this model, viral particles are reinterpreted as incomplete helical polymerization events: chromosomes that did not reach the length threshold required to generate a full cellular Chladni pattern. Interruption of the whip-crack mechanism — by depletion of precursors, change in local pH, UV interruption, or thermal fluctuation — produces a fragment with helical geometry and partial electromagnetic emission signature but insufficient complexity for independent cellular organization.</w:t>
      </w:r>
    </w:p>
    <w:p>
      <w:pPr>
        <w:spacing w:after="160" w:before="0"/>
        <w:ind w:firstLine="720"/>
      </w:pPr>
      <w:r>
        <w:rPr>
          <w:rFonts w:ascii="Times New Roman" w:cs="Times New Roman" w:eastAsia="Times New Roman" w:hAnsi="Times New Roman"/>
          <w:color w:val="111111"/>
          <w:sz w:val="24"/>
          <w:szCs w:val="24"/>
        </w:rPr>
        <w:t xml:space="preserve">This predicts that viral genetic material should show electromagnetic emission signatures compatible with the chromosomal type of their primary host — not as a result of evolutionary parasitism but as a consequence of sharing the same formation environment and triggering mechanism.</w:t>
      </w:r>
    </w:p>
    <w:p>
      <w:pPr>
        <w:pStyle w:val="Heading2"/>
        <w:spacing w:after="100" w:before="240"/>
      </w:pPr>
      <w:r>
        <w:rPr>
          <w:rFonts w:ascii="Times New Roman" w:cs="Times New Roman" w:eastAsia="Times New Roman" w:hAnsi="Times New Roman"/>
          <w:b/>
          <w:bCs/>
          <w:color w:val="111111"/>
          <w:sz w:val="24"/>
          <w:szCs w:val="24"/>
        </w:rPr>
        <w:t xml:space="preserve">2.5 Continuous Biogenesis and the Diversity Problem</w:t>
      </w:r>
    </w:p>
    <w:p>
      <w:pPr>
        <w:spacing w:after="160" w:before="0"/>
        <w:ind w:firstLine="720"/>
      </w:pPr>
      <w:r>
        <w:rPr>
          <w:rFonts w:ascii="Times New Roman" w:cs="Times New Roman" w:eastAsia="Times New Roman" w:hAnsi="Times New Roman"/>
          <w:color w:val="111111"/>
          <w:sz w:val="24"/>
          <w:szCs w:val="24"/>
        </w:rPr>
        <w:t xml:space="preserve">If helical polymerization is a physically driven process requiring only the appropriate electromagnetic conditions and precursor chemistry, it follows that biogenesis is not a singular historical event but a continuous physical process. Wherever the conditions for triggering are met — UV-irradiated carbonic acid-ammonia interfaces, hydrothermal ammonia environments — new chromosomal events are initiated.</w:t>
      </w:r>
    </w:p>
    <w:p>
      <w:pPr>
        <w:spacing w:after="160" w:before="0"/>
        <w:ind w:firstLine="720"/>
      </w:pPr>
      <w:r>
        <w:rPr>
          <w:rFonts w:ascii="Times New Roman" w:cs="Times New Roman" w:eastAsia="Times New Roman" w:hAnsi="Times New Roman"/>
          <w:color w:val="111111"/>
          <w:sz w:val="24"/>
          <w:szCs w:val="24"/>
        </w:rPr>
        <w:t xml:space="preserve">The diversity of unicellular organisms is therefore not primarily the result of mutation accumulation over geological time. It is the result of millions of simultaneous and sequential polymerization events in microscopically distinct chemical environments. Each event inherits the fundamental frequency of its triggering environment but develops unique harmonics based on local precursor composition, temperature gradients, and ionic concentrations at the moment of formation.</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3. Relationship to Existing Experimental Evidence</w:t>
      </w:r>
    </w:p>
    <w:p>
      <w:pPr>
        <w:pStyle w:val="Heading2"/>
        <w:spacing w:after="100" w:before="240"/>
      </w:pPr>
      <w:r>
        <w:rPr>
          <w:rFonts w:ascii="Times New Roman" w:cs="Times New Roman" w:eastAsia="Times New Roman" w:hAnsi="Times New Roman"/>
          <w:b/>
          <w:bCs/>
          <w:color w:val="111111"/>
          <w:sz w:val="24"/>
          <w:szCs w:val="24"/>
        </w:rPr>
        <w:t xml:space="preserve">3.1 DNA as UV Dissipator</w:t>
      </w:r>
    </w:p>
    <w:p>
      <w:pPr>
        <w:spacing w:after="160" w:before="0"/>
        <w:ind w:firstLine="720"/>
      </w:pPr>
      <w:r>
        <w:rPr>
          <w:rFonts w:ascii="Times New Roman" w:cs="Times New Roman" w:eastAsia="Times New Roman" w:hAnsi="Times New Roman"/>
          <w:color w:val="111111"/>
          <w:sz w:val="24"/>
          <w:szCs w:val="24"/>
        </w:rPr>
        <w:t xml:space="preserve">Middleton et al. (2009) demonstrated that DNA bases absorb UV radiation with exceptional efficiency and dissipate it as heat on femtosecond timescales. This property is typically interpreted as a protective adaptation. Under our model, it is the original function: the helix formed because UV dissipation was thermodynamically favorable, and this property persists because it was the foundation of the structure.</w:t>
      </w:r>
    </w:p>
    <w:p>
      <w:pPr>
        <w:pStyle w:val="Heading2"/>
        <w:spacing w:after="100" w:before="240"/>
      </w:pPr>
      <w:r>
        <w:rPr>
          <w:rFonts w:ascii="Times New Roman" w:cs="Times New Roman" w:eastAsia="Times New Roman" w:hAnsi="Times New Roman"/>
          <w:b/>
          <w:bCs/>
          <w:color w:val="111111"/>
          <w:sz w:val="24"/>
          <w:szCs w:val="24"/>
        </w:rPr>
        <w:t xml:space="preserve">3.2 Biophoton Emission from DNA</w:t>
      </w:r>
    </w:p>
    <w:p>
      <w:pPr>
        <w:spacing w:after="160" w:before="0"/>
        <w:ind w:firstLine="720"/>
      </w:pPr>
      <w:r>
        <w:rPr>
          <w:rFonts w:ascii="Times New Roman" w:cs="Times New Roman" w:eastAsia="Times New Roman" w:hAnsi="Times New Roman"/>
          <w:color w:val="111111"/>
          <w:sz w:val="24"/>
          <w:szCs w:val="24"/>
        </w:rPr>
        <w:t xml:space="preserve">Popp (1992) documented coherent ultraweak photon emission from living cells, with DNA as the primary emitter. Coherent emission — as opposed to thermal noise — implies organized wave structure. The 2024 Scientific Reports study on barley genomic DNA (Pietruszka et al., 2024) demonstrated spontaneous light emission, fractal dimension oscillations, and non-equilibrium phase transitions in isolated genomic DNA. Crucially, results were independent of specific base sequences, emerging from the physicochemical properties of the molecule itself. This supports the model's proposal that the helix carries information in its oscillation parameters, not exclusively in base sequence.</w:t>
      </w:r>
    </w:p>
    <w:p>
      <w:pPr>
        <w:pStyle w:val="Heading2"/>
        <w:spacing w:after="100" w:before="240"/>
      </w:pPr>
      <w:r>
        <w:rPr>
          <w:rFonts w:ascii="Times New Roman" w:cs="Times New Roman" w:eastAsia="Times New Roman" w:hAnsi="Times New Roman"/>
          <w:b/>
          <w:bCs/>
          <w:color w:val="111111"/>
          <w:sz w:val="24"/>
          <w:szCs w:val="24"/>
        </w:rPr>
        <w:t xml:space="preserve">3.3 Electromagnetic Signals from DNA (Montagnier et al.)</w:t>
      </w:r>
    </w:p>
    <w:p>
      <w:pPr>
        <w:spacing w:after="160" w:before="0"/>
        <w:ind w:firstLine="720"/>
      </w:pPr>
      <w:r>
        <w:rPr>
          <w:rFonts w:ascii="Times New Roman" w:cs="Times New Roman" w:eastAsia="Times New Roman" w:hAnsi="Times New Roman"/>
          <w:color w:val="111111"/>
          <w:sz w:val="24"/>
          <w:szCs w:val="24"/>
        </w:rPr>
        <w:t xml:space="preserve">Montagnier et al. (2009, 2015) reported that certain bacterial and viral DNA sequences produce low-frequency electromagnetic signals in aqueous dilution. More significantly, identical base sequences in healthy versus diseased individuals showed different electromagnetic emission profiles without sequence-level differences. This is consistent with the model's proposal that the electromagnetic emission of the helix is a primary biological parameter distinct from base sequence.</w:t>
      </w:r>
    </w:p>
    <w:p>
      <w:pPr>
        <w:pStyle w:val="Heading2"/>
        <w:spacing w:after="100" w:before="240"/>
      </w:pPr>
      <w:r>
        <w:rPr>
          <w:rFonts w:ascii="Times New Roman" w:cs="Times New Roman" w:eastAsia="Times New Roman" w:hAnsi="Times New Roman"/>
          <w:b/>
          <w:bCs/>
          <w:color w:val="111111"/>
          <w:sz w:val="24"/>
          <w:szCs w:val="24"/>
        </w:rPr>
        <w:t xml:space="preserve">3.4 Cooperative Polymerization in Synthetic Systems</w:t>
      </w:r>
    </w:p>
    <w:p>
      <w:pPr>
        <w:spacing w:after="160" w:before="0"/>
        <w:ind w:firstLine="720"/>
      </w:pPr>
      <w:r>
        <w:rPr>
          <w:rFonts w:ascii="Times New Roman" w:cs="Times New Roman" w:eastAsia="Times New Roman" w:hAnsi="Times New Roman"/>
          <w:color w:val="111111"/>
          <w:sz w:val="24"/>
          <w:szCs w:val="24"/>
        </w:rPr>
        <w:t xml:space="preserve">The sergeant-and-soldier effect in helical polymer chemistry (Green et al., 1999) demonstrates that a small fraction of chiral monomers can direct the helical handedness of an entire polymer chain through cooperative interaction. This provides a chemical precedent for the proposed whip-crack mechanism: once the first helical turn is established, cooperative energetics drive rapid chain extension. Polymerization rates in such systems can reach millions of monomer additions per second under optimal conditions.</w:t>
      </w:r>
    </w:p>
    <w:p>
      <w:pPr>
        <w:pStyle w:val="Heading2"/>
        <w:spacing w:after="100" w:before="240"/>
      </w:pPr>
      <w:r>
        <w:rPr>
          <w:rFonts w:ascii="Times New Roman" w:cs="Times New Roman" w:eastAsia="Times New Roman" w:hAnsi="Times New Roman"/>
          <w:b/>
          <w:bCs/>
          <w:color w:val="111111"/>
          <w:sz w:val="24"/>
          <w:szCs w:val="24"/>
        </w:rPr>
        <w:t xml:space="preserve">3.5 The Miller-Urey Gap</w:t>
      </w:r>
    </w:p>
    <w:p>
      <w:pPr>
        <w:spacing w:after="160" w:before="0"/>
        <w:ind w:firstLine="720"/>
      </w:pPr>
      <w:r>
        <w:rPr>
          <w:rFonts w:ascii="Times New Roman" w:cs="Times New Roman" w:eastAsia="Times New Roman" w:hAnsi="Times New Roman"/>
          <w:color w:val="111111"/>
          <w:sz w:val="24"/>
          <w:szCs w:val="24"/>
        </w:rPr>
        <w:t xml:space="preserve">Miller and Urey (1953) produced amino acids under simulated prebiotic conditions but did not produce life. Under our model, the gap is explicable: their experimental design included thermal and electrical energy inputs but did not include the specific electromagnetic frequency conditions proposed as triggers for cooperative helical polymerization. The precursors were present; the triggering frequency was absent.</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4. Falsifiable Predictions and Experimental Protocols</w:t>
      </w:r>
    </w:p>
    <w:p>
      <w:pPr>
        <w:spacing w:after="160" w:before="0"/>
        <w:ind w:firstLine="720"/>
      </w:pPr>
      <w:r>
        <w:rPr>
          <w:rFonts w:ascii="Times New Roman" w:cs="Times New Roman" w:eastAsia="Times New Roman" w:hAnsi="Times New Roman"/>
          <w:color w:val="111111"/>
          <w:sz w:val="24"/>
          <w:szCs w:val="24"/>
        </w:rPr>
        <w:t xml:space="preserve">The following predictions are stated in falsifiable form following Popper (1959). Each prediction includes a specific experimental protocol and an explicit falsification criterion.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888888" w:sz="1"/>
              <w:left w:val="single" w:color="888888" w:sz="1"/>
              <w:bottom w:val="single" w:color="888888" w:sz="1"/>
              <w:right w:val="single" w:color="888888" w:sz="1"/>
            </w:tcBorders>
            <w:shd w:fill="D6EAF8"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Prediction</w:t>
            </w:r>
          </w:p>
        </w:tc>
        <w:tc>
          <w:tcPr>
            <w:tcW w:type="dxa" w:w="2800"/>
            <w:tcBorders>
              <w:top w:val="single" w:color="888888" w:sz="1"/>
              <w:left w:val="single" w:color="888888" w:sz="1"/>
              <w:bottom w:val="single" w:color="888888" w:sz="1"/>
              <w:right w:val="single" w:color="888888" w:sz="1"/>
            </w:tcBorders>
            <w:shd w:fill="D6EAF8"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Observable</w:t>
            </w:r>
          </w:p>
        </w:tc>
        <w:tc>
          <w:tcPr>
            <w:tcW w:type="dxa" w:w="2200"/>
            <w:tcBorders>
              <w:top w:val="single" w:color="888888" w:sz="1"/>
              <w:left w:val="single" w:color="888888" w:sz="1"/>
              <w:bottom w:val="single" w:color="888888" w:sz="1"/>
              <w:right w:val="single" w:color="888888" w:sz="1"/>
            </w:tcBorders>
            <w:shd w:fill="D6EAF8"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Method</w:t>
            </w:r>
          </w:p>
        </w:tc>
        <w:tc>
          <w:tcPr>
            <w:tcW w:type="dxa" w:w="2360"/>
            <w:tcBorders>
              <w:top w:val="single" w:color="888888" w:sz="1"/>
              <w:left w:val="single" w:color="888888" w:sz="1"/>
              <w:bottom w:val="single" w:color="888888" w:sz="1"/>
              <w:right w:val="single" w:color="888888" w:sz="1"/>
            </w:tcBorders>
            <w:shd w:fill="D6EAF8"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Falsification criterion</w:t>
            </w:r>
          </w:p>
        </w:tc>
      </w:tr>
      <w:tr>
        <w:tc>
          <w:tcPr>
            <w:tcW w:type="dxa" w:w="2000"/>
            <w:tcBorders>
              <w:top w:val="single" w:color="888888" w:sz="1"/>
              <w:left w:val="single" w:color="888888" w:sz="1"/>
              <w:bottom w:val="single" w:color="888888" w:sz="1"/>
              <w:right w:val="single" w:color="888888" w:sz="1"/>
            </w:tcBorders>
            <w:shd w:fill="EBF5FB"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P1 — Spontaneous helix</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Helical structures forming de novo at ammonia/carbonic acid interface under UV</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Optical microscopy with continuous filming, 1000x + 15x ocular</w:t>
            </w:r>
          </w:p>
        </w:tc>
        <w:tc>
          <w:tcPr>
            <w:tcW w:type="dxa" w:w="2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 structures appear at interface under identical conditions after 10 independent trials</w:t>
            </w:r>
          </w:p>
        </w:tc>
      </w:tr>
      <w:tr>
        <w:tc>
          <w:tcPr>
            <w:tcW w:type="dxa" w:w="2000"/>
            <w:tcBorders>
              <w:top w:val="single" w:color="888888" w:sz="1"/>
              <w:left w:val="single" w:color="888888" w:sz="1"/>
              <w:bottom w:val="single" w:color="888888" w:sz="1"/>
              <w:right w:val="single" w:color="888888" w:sz="1"/>
            </w:tcBorders>
            <w:shd w:fill="EBF5FB"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P2 — Two helix types</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Distinct helical morphologies in thermal vs. UV-triggered samples</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Same microscopy setup, two parallel chambers</w:t>
            </w:r>
          </w:p>
        </w:tc>
        <w:tc>
          <w:tcPr>
            <w:tcW w:type="dxa" w:w="2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Identical morphologies in both conditions</w:t>
            </w:r>
          </w:p>
        </w:tc>
      </w:tr>
      <w:tr>
        <w:tc>
          <w:tcPr>
            <w:tcW w:type="dxa" w:w="2000"/>
            <w:tcBorders>
              <w:top w:val="single" w:color="888888" w:sz="1"/>
              <w:left w:val="single" w:color="888888" w:sz="1"/>
              <w:bottom w:val="single" w:color="888888" w:sz="1"/>
              <w:right w:val="single" w:color="888888" w:sz="1"/>
            </w:tcBorders>
            <w:shd w:fill="EBF5FB"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P3 — Spectral species identity</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EM emission frequency shared within species, divergent between archaea and bacteria</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Near-field spectrometry or sensitive coil near active chromosomes</w:t>
            </w:r>
          </w:p>
        </w:tc>
        <w:tc>
          <w:tcPr>
            <w:tcW w:type="dxa" w:w="2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 measurable EM difference between archaea and bacteria</w:t>
            </w:r>
          </w:p>
        </w:tc>
      </w:tr>
      <w:tr>
        <w:tc>
          <w:tcPr>
            <w:tcW w:type="dxa" w:w="2000"/>
            <w:tcBorders>
              <w:top w:val="single" w:color="888888" w:sz="1"/>
              <w:left w:val="single" w:color="888888" w:sz="1"/>
              <w:bottom w:val="single" w:color="888888" w:sz="1"/>
              <w:right w:val="single" w:color="888888" w:sz="1"/>
            </w:tcBorders>
            <w:shd w:fill="EBF5FB"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P4 — Interrupted helix = virus</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Virus-like particles at interface when UV is interrupted mid-reaction</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UV pulse protocol, continuous filming</w:t>
            </w:r>
          </w:p>
        </w:tc>
        <w:tc>
          <w:tcPr>
            <w:tcW w:type="dxa" w:w="2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No virus-like particles under interrupted UV conditions</w:t>
            </w:r>
          </w:p>
        </w:tc>
      </w:tr>
      <w:tr>
        <w:tc>
          <w:tcPr>
            <w:tcW w:type="dxa" w:w="2000"/>
            <w:tcBorders>
              <w:top w:val="single" w:color="888888" w:sz="1"/>
              <w:left w:val="single" w:color="888888" w:sz="1"/>
              <w:bottom w:val="single" w:color="888888" w:sz="1"/>
              <w:right w:val="single" w:color="888888" w:sz="1"/>
            </w:tcBorders>
            <w:shd w:fill="EBF5FB" w:val="clear"/>
            <w:tcMar>
              <w:top w:type="dxa" w:w="80"/>
              <w:left w:type="dxa" w:w="120"/>
              <w:bottom w:type="dxa" w:w="80"/>
              <w:right w:type="dxa" w:w="120"/>
            </w:tcMar>
          </w:tcPr>
          <w:p>
            <w:r>
              <w:rPr>
                <w:rFonts w:ascii="Times New Roman" w:cs="Times New Roman" w:eastAsia="Times New Roman" w:hAnsi="Times New Roman"/>
                <w:b/>
                <w:bCs/>
                <w:color w:val="111111"/>
                <w:sz w:val="20"/>
                <w:szCs w:val="20"/>
              </w:rPr>
              <w:t xml:space="preserve">P5 — Chromosome as primary unit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Chromosomal material organizing surrounding medium before membrane formation</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AFM real-time imaging at high sampling frequency</w:t>
            </w:r>
          </w:p>
        </w:tc>
        <w:tc>
          <w:tcPr>
            <w:tcW w:type="dxa" w:w="2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111111"/>
                <w:sz w:val="20"/>
                <w:szCs w:val="20"/>
              </w:rPr>
              <w:t xml:space="preserve">Membrane always precedes or is simultaneous with chromosomal condensation</w:t>
            </w:r>
          </w:p>
        </w:tc>
      </w:tr>
    </w:tbl>
    <w:p>
      <w:pPr>
        <w:spacing w:after="0" w:before="160"/>
      </w:pPr>
    </w:p>
    <w:p>
      <w:pPr>
        <w:pStyle w:val="Heading2"/>
        <w:spacing w:after="100" w:before="240"/>
      </w:pPr>
      <w:r>
        <w:rPr>
          <w:rFonts w:ascii="Times New Roman" w:cs="Times New Roman" w:eastAsia="Times New Roman" w:hAnsi="Times New Roman"/>
          <w:b/>
          <w:bCs/>
          <w:color w:val="111111"/>
          <w:sz w:val="24"/>
          <w:szCs w:val="24"/>
        </w:rPr>
        <w:t xml:space="preserve">4.1 Protocol for Prediction P1 and P2: Optical Microscopy Chamber</w:t>
      </w:r>
    </w:p>
    <w:p>
      <w:pPr>
        <w:spacing w:after="160" w:before="0"/>
        <w:ind w:firstLine="720"/>
      </w:pPr>
      <w:r>
        <w:rPr>
          <w:rFonts w:ascii="Times New Roman" w:cs="Times New Roman" w:eastAsia="Times New Roman" w:hAnsi="Times New Roman"/>
          <w:color w:val="111111"/>
          <w:sz w:val="24"/>
          <w:szCs w:val="24"/>
        </w:rPr>
        <w:t xml:space="preserve">Materials: standard glass microscope slides; 2mm silicone spacers or vaseline frame to create observation chamber; aqueous ammonia solution (domestic-grade, approximately 5% NH3) buffered to pH 8.0; carbonated water as carbonic acid source, buffered to pH 6.0; UV lamp (254nm or 365nm); optical microscope at 1000x objective with 15x ocular; continuous filming camera (Nikon or equivalent).</w:t>
      </w:r>
    </w:p>
    <w:p>
      <w:pPr>
        <w:spacing w:after="160" w:before="0"/>
        <w:ind w:firstLine="720"/>
      </w:pPr>
      <w:r>
        <w:rPr>
          <w:rFonts w:ascii="Times New Roman" w:cs="Times New Roman" w:eastAsia="Times New Roman" w:hAnsi="Times New Roman"/>
          <w:color w:val="111111"/>
          <w:sz w:val="24"/>
          <w:szCs w:val="24"/>
        </w:rPr>
        <w:t xml:space="preserve">Procedure: place buffered ammonia solution in chamber base. Add buffered carbonic acid solution slowly to create a stratified interface without mixing. Position UV lamp directed at the interface zone. Begin continuous filming before UV activation. Activate UV. Record for minimum 30 minutes at maximum available frame rate. Repeat minimum 10 independent trials.</w:t>
      </w:r>
    </w:p>
    <w:p>
      <w:pPr>
        <w:spacing w:after="160" w:before="0"/>
        <w:ind w:firstLine="720"/>
      </w:pPr>
      <w:r>
        <w:rPr>
          <w:rFonts w:ascii="Times New Roman" w:cs="Times New Roman" w:eastAsia="Times New Roman" w:hAnsi="Times New Roman"/>
          <w:color w:val="111111"/>
          <w:sz w:val="24"/>
          <w:szCs w:val="24"/>
        </w:rPr>
        <w:t xml:space="preserve">Observation criterion: helical or filamentous structures appearing specifically at the interface zone after UV activation, absent in pre-UV footage and absent in control chambers lacking the interface condition.</w:t>
      </w:r>
    </w:p>
    <w:p>
      <w:pPr>
        <w:spacing w:after="160" w:before="0"/>
        <w:ind w:firstLine="720"/>
      </w:pPr>
      <w:r>
        <w:rPr>
          <w:rFonts w:ascii="Times New Roman" w:cs="Times New Roman" w:eastAsia="Times New Roman" w:hAnsi="Times New Roman"/>
          <w:color w:val="111111"/>
          <w:sz w:val="24"/>
          <w:szCs w:val="24"/>
        </w:rPr>
        <w:t xml:space="preserve">Control conditions: (a) UV without interface — both solutions mixed; (b) interface without UV — no electromagnetic stimulation; (c) UV with single solution only.</w:t>
      </w:r>
    </w:p>
    <w:p>
      <w:pPr>
        <w:pStyle w:val="Heading2"/>
        <w:spacing w:after="100" w:before="240"/>
      </w:pPr>
      <w:r>
        <w:rPr>
          <w:rFonts w:ascii="Times New Roman" w:cs="Times New Roman" w:eastAsia="Times New Roman" w:hAnsi="Times New Roman"/>
          <w:b/>
          <w:bCs/>
          <w:color w:val="111111"/>
          <w:sz w:val="24"/>
          <w:szCs w:val="24"/>
        </w:rPr>
        <w:t xml:space="preserve">4.2 Protocol for Prediction P3: Chromosomal Electromagnetic Measurement</w:t>
      </w:r>
    </w:p>
    <w:p>
      <w:pPr>
        <w:spacing w:after="160" w:before="0"/>
        <w:ind w:firstLine="720"/>
      </w:pPr>
      <w:r>
        <w:rPr>
          <w:rFonts w:ascii="Times New Roman" w:cs="Times New Roman" w:eastAsia="Times New Roman" w:hAnsi="Times New Roman"/>
          <w:color w:val="111111"/>
          <w:sz w:val="24"/>
          <w:szCs w:val="24"/>
        </w:rPr>
        <w:t xml:space="preserve">Materials: actively dividing cells of archaeal and bacterial species; standard chromosome preparation protocol; sensitive low-frequency coil (adapted from Montagnier et al. 2009 design); amplifier; data acquisition system; electromagnetic shielding of measurement environment.</w:t>
      </w:r>
    </w:p>
    <w:p>
      <w:pPr>
        <w:spacing w:after="160" w:before="0"/>
        <w:ind w:firstLine="720"/>
      </w:pPr>
      <w:r>
        <w:rPr>
          <w:rFonts w:ascii="Times New Roman" w:cs="Times New Roman" w:eastAsia="Times New Roman" w:hAnsi="Times New Roman"/>
          <w:color w:val="111111"/>
          <w:sz w:val="24"/>
          <w:szCs w:val="24"/>
        </w:rPr>
        <w:t xml:space="preserve">Procedure: prepare chromosome suspensions from confirmed archaeal and bacterial samples. Place each preparation inside measurement coil in shielded environment. Record electromagnetic emission spectrum from 1Hz to 100kHz. Compare fundamental frequencies between archaeal preparations, between bacterial preparations, and between the two groups.</w:t>
      </w:r>
    </w:p>
    <w:p>
      <w:pPr>
        <w:spacing w:after="160" w:before="0"/>
        <w:ind w:firstLine="720"/>
      </w:pPr>
      <w:r>
        <w:rPr>
          <w:rFonts w:ascii="Times New Roman" w:cs="Times New Roman" w:eastAsia="Times New Roman" w:hAnsi="Times New Roman"/>
          <w:color w:val="111111"/>
          <w:sz w:val="24"/>
          <w:szCs w:val="24"/>
        </w:rPr>
        <w:t xml:space="preserve">Observation criterion: statistically significant difference in fundamental emission frequency between archaeal and bacterial preparations, with consistency within each group across multiple samples and species.</w:t>
      </w:r>
    </w:p>
    <w:p>
      <w:pPr>
        <w:pStyle w:val="Heading2"/>
        <w:spacing w:after="100" w:before="240"/>
      </w:pPr>
      <w:r>
        <w:rPr>
          <w:rFonts w:ascii="Times New Roman" w:cs="Times New Roman" w:eastAsia="Times New Roman" w:hAnsi="Times New Roman"/>
          <w:b/>
          <w:bCs/>
          <w:color w:val="111111"/>
          <w:sz w:val="24"/>
          <w:szCs w:val="24"/>
        </w:rPr>
        <w:t xml:space="preserve">4.3 Protocol for Prediction P4: Interrupted UV</w:t>
      </w:r>
    </w:p>
    <w:p>
      <w:pPr>
        <w:spacing w:after="160" w:before="0"/>
        <w:ind w:firstLine="720"/>
      </w:pPr>
      <w:r>
        <w:rPr>
          <w:rFonts w:ascii="Times New Roman" w:cs="Times New Roman" w:eastAsia="Times New Roman" w:hAnsi="Times New Roman"/>
          <w:color w:val="111111"/>
          <w:sz w:val="24"/>
          <w:szCs w:val="24"/>
        </w:rPr>
        <w:t xml:space="preserve">Using the same chamber setup as P1/P2, apply UV in pulses of varying duration during the interface experiment. Interrupt UV at different time points after initiation. Film continuously. Compare structures produced under continuous UV versus interrupted UV at early, middle, and late reaction stages.</w:t>
      </w:r>
    </w:p>
    <w:p>
      <w:pPr>
        <w:spacing w:after="160" w:before="0"/>
        <w:ind w:firstLine="720"/>
      </w:pPr>
      <w:r>
        <w:rPr>
          <w:rFonts w:ascii="Times New Roman" w:cs="Times New Roman" w:eastAsia="Times New Roman" w:hAnsi="Times New Roman"/>
          <w:color w:val="111111"/>
          <w:sz w:val="24"/>
          <w:szCs w:val="24"/>
        </w:rPr>
        <w:t xml:space="preserve">Observation criterion: structures appearing under interrupted UV conditions that are smaller, incomplete, or morphologically distinct from structures produced under continuous UV, consistent with truncated helical polymers.</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5. Resolution of Evolutionary Anomalies</w:t>
      </w:r>
    </w:p>
    <w:p>
      <w:pPr>
        <w:pStyle w:val="Heading2"/>
        <w:spacing w:after="100" w:before="240"/>
      </w:pPr>
      <w:r>
        <w:rPr>
          <w:rFonts w:ascii="Times New Roman" w:cs="Times New Roman" w:eastAsia="Times New Roman" w:hAnsi="Times New Roman"/>
          <w:b/>
          <w:bCs/>
          <w:color w:val="111111"/>
          <w:sz w:val="24"/>
          <w:szCs w:val="24"/>
        </w:rPr>
        <w:t xml:space="preserve">5.1 The Archaea-Bacteria Divergence</w:t>
      </w:r>
    </w:p>
    <w:p>
      <w:pPr>
        <w:spacing w:after="160" w:before="0"/>
        <w:ind w:firstLine="720"/>
      </w:pPr>
      <w:r>
        <w:rPr>
          <w:rFonts w:ascii="Times New Roman" w:cs="Times New Roman" w:eastAsia="Times New Roman" w:hAnsi="Times New Roman"/>
          <w:color w:val="111111"/>
          <w:sz w:val="24"/>
          <w:szCs w:val="24"/>
        </w:rPr>
        <w:t xml:space="preserve">Under this model, archaea and bacteria do not diverge from a common ancestor. They are independent origination events driven by distinct physical triggers. Archaeal membranes reflect thermal gradient management requirements of hydrothermal environments. Bacterial membranes reflect photon flux management requirements of UV-exposed surface environments. The architectural difference is a direct consequence of the formation environment, not evolutionary drift.</w:t>
      </w:r>
    </w:p>
    <w:p>
      <w:pPr>
        <w:spacing w:after="160" w:before="0"/>
        <w:ind w:firstLine="720"/>
      </w:pPr>
      <w:r>
        <w:rPr>
          <w:rFonts w:ascii="Times New Roman" w:cs="Times New Roman" w:eastAsia="Times New Roman" w:hAnsi="Times New Roman"/>
          <w:color w:val="111111"/>
          <w:sz w:val="24"/>
          <w:szCs w:val="24"/>
        </w:rPr>
        <w:t xml:space="preserve">This predicts that the fundamental electromagnetic emission frequencies of archaea and bacteria should be non-homologous — that is, they should not cluster as variants of a single ancestral frequency but should form two distinct spectral families.</w:t>
      </w:r>
    </w:p>
    <w:p>
      <w:pPr>
        <w:pStyle w:val="Heading2"/>
        <w:spacing w:after="100" w:before="240"/>
      </w:pPr>
      <w:r>
        <w:rPr>
          <w:rFonts w:ascii="Times New Roman" w:cs="Times New Roman" w:eastAsia="Times New Roman" w:hAnsi="Times New Roman"/>
          <w:b/>
          <w:bCs/>
          <w:color w:val="111111"/>
          <w:sz w:val="24"/>
          <w:szCs w:val="24"/>
        </w:rPr>
        <w:t xml:space="preserve">5.2 Post-Extinction Recovery Speed</w:t>
      </w:r>
    </w:p>
    <w:p>
      <w:pPr>
        <w:spacing w:after="160" w:before="0"/>
        <w:ind w:firstLine="720"/>
      </w:pPr>
      <w:r>
        <w:rPr>
          <w:rFonts w:ascii="Times New Roman" w:cs="Times New Roman" w:eastAsia="Times New Roman" w:hAnsi="Times New Roman"/>
          <w:color w:val="111111"/>
          <w:sz w:val="24"/>
          <w:szCs w:val="24"/>
        </w:rPr>
        <w:t xml:space="preserve">If biogenesis is continuous, post-extinction recovery does not depend solely on reproductive propagation from survivors. The mass of decomposing organic material following an extinction event provides abundant helical fragments and precursor chemistry. Combined with the electromagnetic conditions that persist regardless of extinction events — solar UV, geomagnetic fields, hydrothermal activity — new polymerization events are initiated continuously in the post-extinction environment.</w:t>
      </w:r>
    </w:p>
    <w:p>
      <w:pPr>
        <w:spacing w:after="160" w:before="0"/>
        <w:ind w:firstLine="720"/>
      </w:pPr>
      <w:r>
        <w:rPr>
          <w:rFonts w:ascii="Times New Roman" w:cs="Times New Roman" w:eastAsia="Times New Roman" w:hAnsi="Times New Roman"/>
          <w:color w:val="111111"/>
          <w:sz w:val="24"/>
          <w:szCs w:val="24"/>
        </w:rPr>
        <w:t xml:space="preserve">Recovery speed is therefore a function of precursor availability and electromagnetic conditions, not of surviving population size. This is consistent with observed recovery rates that exceed reproductive models.</w:t>
      </w:r>
    </w:p>
    <w:p>
      <w:pPr>
        <w:pStyle w:val="Heading2"/>
        <w:spacing w:after="100" w:before="240"/>
      </w:pPr>
      <w:r>
        <w:rPr>
          <w:rFonts w:ascii="Times New Roman" w:cs="Times New Roman" w:eastAsia="Times New Roman" w:hAnsi="Times New Roman"/>
          <w:b/>
          <w:bCs/>
          <w:color w:val="111111"/>
          <w:sz w:val="24"/>
          <w:szCs w:val="24"/>
        </w:rPr>
        <w:t xml:space="preserve">5.3 Convergent Evolution</w:t>
      </w:r>
    </w:p>
    <w:p>
      <w:pPr>
        <w:spacing w:after="160" w:before="0"/>
        <w:ind w:firstLine="720"/>
      </w:pPr>
      <w:r>
        <w:rPr>
          <w:rFonts w:ascii="Times New Roman" w:cs="Times New Roman" w:eastAsia="Times New Roman" w:hAnsi="Times New Roman"/>
          <w:color w:val="111111"/>
          <w:sz w:val="24"/>
          <w:szCs w:val="24"/>
        </w:rPr>
        <w:t xml:space="preserve">Similar morphological solutions appearing independently in unrelated lineages — the vertebrate and cephalopod eye, powered flight in birds and bats, streamlined body forms in dolphins and ichthyosaurs — are explained under this model as convergent resonance: distinct polymerization events reaching the same stable Chladni pattern under similar environmental electromagnetic conditions. The same physical attractor produces the same form regardless of lineage.</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6. Limitations and Open Questions</w:t>
      </w:r>
    </w:p>
    <w:p>
      <w:pPr>
        <w:spacing w:after="160" w:before="0"/>
        <w:ind w:firstLine="720"/>
      </w:pPr>
      <w:r>
        <w:rPr>
          <w:rFonts w:ascii="Times New Roman" w:cs="Times New Roman" w:eastAsia="Times New Roman" w:hAnsi="Times New Roman"/>
          <w:color w:val="111111"/>
          <w:sz w:val="24"/>
          <w:szCs w:val="24"/>
        </w:rPr>
        <w:t xml:space="preserve">This paper presents a theoretical framework and experimental proposals. No experimental results are reported. The model's validity depends entirely on the outcome of the proposed falsification experiments.</w:t>
      </w:r>
    </w:p>
    <w:p>
      <w:pPr>
        <w:spacing w:after="160" w:before="0"/>
        <w:ind w:firstLine="720"/>
      </w:pPr>
      <w:r>
        <w:rPr>
          <w:rFonts w:ascii="Times New Roman" w:cs="Times New Roman" w:eastAsia="Times New Roman" w:hAnsi="Times New Roman"/>
          <w:color w:val="111111"/>
          <w:sz w:val="24"/>
          <w:szCs w:val="24"/>
        </w:rPr>
        <w:t xml:space="preserve">Several aspects remain unspecified at this stage and require further development:</w:t>
      </w:r>
    </w:p>
    <w:p>
      <w:pPr>
        <w:pStyle w:val="ListParagraph"/>
        <w:numPr>
          <w:ilvl w:val="0"/>
          <w:numId w:val="2"/>
        </w:numPr>
        <w:spacing w:after="60" w:before="60"/>
      </w:pPr>
      <w:r>
        <w:rPr>
          <w:rFonts w:ascii="Times New Roman" w:cs="Times New Roman" w:eastAsia="Times New Roman" w:hAnsi="Times New Roman"/>
          <w:color w:val="111111"/>
          <w:sz w:val="24"/>
          <w:szCs w:val="24"/>
        </w:rPr>
        <w:t xml:space="preserve">The specific precursor molecules required for UV-induced cooperative polymerization under carbonic acid-ammonia interface conditions have not been identified. This is a critical experimental gap.</w:t>
      </w:r>
    </w:p>
    <w:p>
      <w:pPr>
        <w:pStyle w:val="ListParagraph"/>
        <w:numPr>
          <w:ilvl w:val="0"/>
          <w:numId w:val="2"/>
        </w:numPr>
        <w:spacing w:after="60" w:before="60"/>
      </w:pPr>
      <w:r>
        <w:rPr>
          <w:rFonts w:ascii="Times New Roman" w:cs="Times New Roman" w:eastAsia="Times New Roman" w:hAnsi="Times New Roman"/>
          <w:color w:val="111111"/>
          <w:sz w:val="24"/>
          <w:szCs w:val="24"/>
        </w:rPr>
        <w:t xml:space="preserve">The proposed whip-crack propagation speed has not been calculated from first principles. An estimate based on cooperative polymerization kinetics in analogous synthetic systems would strengthen the theoretical basis.</w:t>
      </w:r>
    </w:p>
    <w:p>
      <w:pPr>
        <w:pStyle w:val="ListParagraph"/>
        <w:numPr>
          <w:ilvl w:val="0"/>
          <w:numId w:val="2"/>
        </w:numPr>
        <w:spacing w:after="60" w:before="60"/>
      </w:pPr>
      <w:r>
        <w:rPr>
          <w:rFonts w:ascii="Times New Roman" w:cs="Times New Roman" w:eastAsia="Times New Roman" w:hAnsi="Times New Roman"/>
          <w:color w:val="111111"/>
          <w:sz w:val="24"/>
          <w:szCs w:val="24"/>
        </w:rPr>
        <w:t xml:space="preserve">The relationship between helical oscillation parameters and cellular morphology, the proposed Chladni mechanism, requires mathematical formalization beyond the qualitative description offered here.</w:t>
      </w:r>
    </w:p>
    <w:p>
      <w:pPr>
        <w:pStyle w:val="ListParagraph"/>
        <w:numPr>
          <w:ilvl w:val="0"/>
          <w:numId w:val="2"/>
        </w:numPr>
        <w:spacing w:after="60" w:before="60"/>
      </w:pPr>
      <w:r>
        <w:rPr>
          <w:rFonts w:ascii="Times New Roman" w:cs="Times New Roman" w:eastAsia="Times New Roman" w:hAnsi="Times New Roman"/>
          <w:color w:val="111111"/>
          <w:sz w:val="24"/>
          <w:szCs w:val="24"/>
        </w:rPr>
        <w:t xml:space="preserve">The model does not specify the transition from helical polymer to self-sustaining metabolism. This remains an open question.</w:t>
      </w:r>
    </w:p>
    <w:p>
      <w:pPr>
        <w:spacing w:after="160" w:before="0"/>
        <w:ind w:firstLine="720"/>
      </w:pPr>
      <w:r>
        <w:rPr>
          <w:rFonts w:ascii="Times New Roman" w:cs="Times New Roman" w:eastAsia="Times New Roman" w:hAnsi="Times New Roman"/>
          <w:color w:val="111111"/>
          <w:sz w:val="24"/>
          <w:szCs w:val="24"/>
        </w:rPr>
        <w:t xml:space="preserve">The authors invite critical experimental engagement with these predictions. Falsification of any prediction under rigorously controlled conditions would require revision of the model. That is the intended outcome of publication.</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7. Conclusions</w:t>
      </w:r>
    </w:p>
    <w:p>
      <w:pPr>
        <w:spacing w:after="160" w:before="0"/>
        <w:ind w:firstLine="720"/>
      </w:pPr>
      <w:r>
        <w:rPr>
          <w:rFonts w:ascii="Times New Roman" w:cs="Times New Roman" w:eastAsia="Times New Roman" w:hAnsi="Times New Roman"/>
          <w:color w:val="111111"/>
          <w:sz w:val="24"/>
          <w:szCs w:val="24"/>
        </w:rPr>
        <w:t xml:space="preserve">We have presented a falsifiable model proposing that:</w:t>
      </w:r>
    </w:p>
    <w:p>
      <w:pPr>
        <w:pStyle w:val="ListParagraph"/>
        <w:numPr>
          <w:ilvl w:val="0"/>
          <w:numId w:val="3"/>
        </w:numPr>
        <w:spacing w:after="60" w:before="60"/>
      </w:pPr>
      <w:r>
        <w:rPr>
          <w:rFonts w:ascii="Times New Roman" w:cs="Times New Roman" w:eastAsia="Times New Roman" w:hAnsi="Times New Roman"/>
          <w:color w:val="111111"/>
          <w:sz w:val="24"/>
          <w:szCs w:val="24"/>
        </w:rPr>
        <w:t xml:space="preserve">The helix is an electromagnetic energy dissipation geometry, not primarily an information storage geometry.</w:t>
      </w:r>
    </w:p>
    <w:p>
      <w:pPr>
        <w:pStyle w:val="ListParagraph"/>
        <w:numPr>
          <w:ilvl w:val="0"/>
          <w:numId w:val="3"/>
        </w:numPr>
        <w:spacing w:after="60" w:before="60"/>
      </w:pPr>
      <w:r>
        <w:rPr>
          <w:rFonts w:ascii="Times New Roman" w:cs="Times New Roman" w:eastAsia="Times New Roman" w:hAnsi="Times New Roman"/>
          <w:color w:val="111111"/>
          <w:sz w:val="24"/>
          <w:szCs w:val="24"/>
        </w:rPr>
        <w:t xml:space="preserve">Two independent triggering mechanisms — thermal induction in ammonia-rich anaerobic environments and UV-induced cooperative polymerization at carbonic acid interfaces — produce two architecturally distinct classes of organism, corresponding to archaea and bacteria respectively.</w:t>
      </w:r>
    </w:p>
    <w:p>
      <w:pPr>
        <w:pStyle w:val="ListParagraph"/>
        <w:numPr>
          <w:ilvl w:val="0"/>
          <w:numId w:val="3"/>
        </w:numPr>
        <w:spacing w:after="60" w:before="60"/>
      </w:pPr>
      <w:r>
        <w:rPr>
          <w:rFonts w:ascii="Times New Roman" w:cs="Times New Roman" w:eastAsia="Times New Roman" w:hAnsi="Times New Roman"/>
          <w:color w:val="111111"/>
          <w:sz w:val="24"/>
          <w:szCs w:val="24"/>
        </w:rPr>
        <w:t xml:space="preserve">The chromosome is the primary biological unit. The cell is the energy dispersal pattern generated by the oscillating chromosome.</w:t>
      </w:r>
    </w:p>
    <w:p>
      <w:pPr>
        <w:pStyle w:val="ListParagraph"/>
        <w:numPr>
          <w:ilvl w:val="0"/>
          <w:numId w:val="3"/>
        </w:numPr>
        <w:spacing w:after="60" w:before="60"/>
      </w:pPr>
      <w:r>
        <w:rPr>
          <w:rFonts w:ascii="Times New Roman" w:cs="Times New Roman" w:eastAsia="Times New Roman" w:hAnsi="Times New Roman"/>
          <w:color w:val="111111"/>
          <w:sz w:val="24"/>
          <w:szCs w:val="24"/>
        </w:rPr>
        <w:t xml:space="preserve">Viral particles are incomplete helical polymerization events — chromosomes that did not reach the length threshold for full cellular pattern generation.</w:t>
      </w:r>
    </w:p>
    <w:p>
      <w:pPr>
        <w:pStyle w:val="ListParagraph"/>
        <w:numPr>
          <w:ilvl w:val="0"/>
          <w:numId w:val="3"/>
        </w:numPr>
        <w:spacing w:after="60" w:before="60"/>
      </w:pPr>
      <w:r>
        <w:rPr>
          <w:rFonts w:ascii="Times New Roman" w:cs="Times New Roman" w:eastAsia="Times New Roman" w:hAnsi="Times New Roman"/>
          <w:color w:val="111111"/>
          <w:sz w:val="24"/>
          <w:szCs w:val="24"/>
        </w:rPr>
        <w:t xml:space="preserve">Biogenesis is a continuous physical process, not a singular historical event. This explains post-extinction recovery speeds and convergent evolution without requiring special mechanisms.</w:t>
      </w:r>
    </w:p>
    <w:p>
      <w:pPr>
        <w:spacing w:after="0" w:before="80"/>
      </w:pPr>
    </w:p>
    <w:p>
      <w:pPr>
        <w:spacing w:after="160" w:before="0"/>
        <w:ind w:firstLine="720"/>
      </w:pPr>
      <w:r>
        <w:rPr>
          <w:rFonts w:ascii="Times New Roman" w:cs="Times New Roman" w:eastAsia="Times New Roman" w:hAnsi="Times New Roman"/>
          <w:color w:val="111111"/>
          <w:sz w:val="24"/>
          <w:szCs w:val="24"/>
        </w:rPr>
        <w:t xml:space="preserve">The model explains seven phenomena that current frameworks treat as unresolved anomalies: the DNA-protein paradox, post-extinction recovery speed, archaeal-bacterial architectural divergence, the Cambrian explosion, convergent evolution, the Miller-Urey gap, and the continuous emergence of novel viral particles. It does so from a single physical principle: helical geometry as electromagnetic dissipation attractor.</w:t>
      </w:r>
    </w:p>
    <w:p>
      <w:pPr>
        <w:spacing w:after="0" w:before="60"/>
      </w:pPr>
    </w:p>
    <w:p>
      <w:pPr>
        <w:spacing w:after="120" w:before="120"/>
        <w:ind w:left="720" w:right="720"/>
      </w:pPr>
      <w:r>
        <w:rPr>
          <w:rFonts w:ascii="Times New Roman" w:cs="Times New Roman" w:eastAsia="Times New Roman" w:hAnsi="Times New Roman"/>
          <w:i/>
          <w:iCs/>
          <w:color w:val="111111"/>
          <w:sz w:val="24"/>
          <w:szCs w:val="24"/>
        </w:rPr>
        <w:t xml:space="preserve">The model is presented not because it is proven but because it is falsifiable, because it explains more than current alternatives, and because the experiments required to test it are accessible today. Science advances not by accumulating certainties but by proposing precise predictions and inviting their refutation.</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Acknowledgements</w:t>
      </w:r>
    </w:p>
    <w:p>
      <w:pPr>
        <w:spacing w:after="160" w:before="0"/>
      </w:pPr>
      <w:r>
        <w:rPr>
          <w:rFonts w:ascii="Times New Roman" w:cs="Times New Roman" w:eastAsia="Times New Roman" w:hAnsi="Times New Roman"/>
          <w:color w:val="111111"/>
          <w:sz w:val="24"/>
          <w:szCs w:val="24"/>
        </w:rPr>
        <w:t xml:space="preserve">The author thanks the Hijos de la Basura Research Initiative for support and discussion. No institutional funding was received for this work. The author declares no conflicts of interest.</w:t>
      </w:r>
    </w:p>
    <w:p>
      <w:pPr>
        <w:spacing w:after="0" w:before="80"/>
      </w:pPr>
    </w:p>
    <w:p>
      <w:pPr>
        <w:pStyle w:val="Heading1"/>
        <w:spacing w:after="160" w:before="400"/>
      </w:pPr>
      <w:r>
        <w:rPr>
          <w:rFonts w:ascii="Times New Roman" w:cs="Times New Roman" w:eastAsia="Times New Roman" w:hAnsi="Times New Roman"/>
          <w:b/>
          <w:bCs/>
          <w:caps/>
          <w:color w:val="111111"/>
          <w:sz w:val="24"/>
          <w:szCs w:val="24"/>
        </w:rPr>
        <w:t xml:space="preserve">References</w:t>
      </w:r>
    </w:p>
    <w:p>
      <w:pPr>
        <w:spacing w:after="40" w:before="40"/>
        <w:ind w:left="480" w:hanging="480"/>
      </w:pPr>
      <w:r>
        <w:rPr>
          <w:rFonts w:ascii="Times New Roman" w:cs="Times New Roman" w:eastAsia="Times New Roman" w:hAnsi="Times New Roman"/>
          <w:b/>
          <w:bCs/>
          <w:color w:val="111111"/>
          <w:sz w:val="22"/>
          <w:szCs w:val="22"/>
        </w:rPr>
        <w:t xml:space="preserve">1. </w:t>
      </w:r>
      <w:r>
        <w:rPr>
          <w:rFonts w:ascii="Times New Roman" w:cs="Times New Roman" w:eastAsia="Times New Roman" w:hAnsi="Times New Roman"/>
          <w:color w:val="111111"/>
          <w:sz w:val="22"/>
          <w:szCs w:val="22"/>
        </w:rPr>
        <w:t xml:space="preserve">Conway Morris, S. (2006). Darwin's dilemma: the realities of the Cambrian 'explosion'. Philosophical Transactions of the Royal Society B, 361(1470), 1069–1083.</w:t>
      </w:r>
    </w:p>
    <w:p>
      <w:pPr>
        <w:spacing w:after="40" w:before="40"/>
        <w:ind w:left="480" w:hanging="480"/>
      </w:pPr>
      <w:r>
        <w:rPr>
          <w:rFonts w:ascii="Times New Roman" w:cs="Times New Roman" w:eastAsia="Times New Roman" w:hAnsi="Times New Roman"/>
          <w:b/>
          <w:bCs/>
          <w:color w:val="111111"/>
          <w:sz w:val="22"/>
          <w:szCs w:val="22"/>
        </w:rPr>
        <w:t xml:space="preserve">2. </w:t>
      </w:r>
      <w:r>
        <w:rPr>
          <w:rFonts w:ascii="Times New Roman" w:cs="Times New Roman" w:eastAsia="Times New Roman" w:hAnsi="Times New Roman"/>
          <w:color w:val="111111"/>
          <w:sz w:val="22"/>
          <w:szCs w:val="22"/>
        </w:rPr>
        <w:t xml:space="preserve">Green, M.M., Park, J.W., Sato, T., Teramoto, A., Lifson, S., Selinger, R.L.B., Selinger, J.V. (1999). The macromolecular route to chiral amplification. Angewandte Chemie International Edition, 38(21), 3138–3154.</w:t>
      </w:r>
    </w:p>
    <w:p>
      <w:pPr>
        <w:spacing w:after="40" w:before="40"/>
        <w:ind w:left="480" w:hanging="480"/>
      </w:pPr>
      <w:r>
        <w:rPr>
          <w:rFonts w:ascii="Times New Roman" w:cs="Times New Roman" w:eastAsia="Times New Roman" w:hAnsi="Times New Roman"/>
          <w:b/>
          <w:bCs/>
          <w:color w:val="111111"/>
          <w:sz w:val="22"/>
          <w:szCs w:val="22"/>
        </w:rPr>
        <w:t xml:space="preserve">3. </w:t>
      </w:r>
      <w:r>
        <w:rPr>
          <w:rFonts w:ascii="Times New Roman" w:cs="Times New Roman" w:eastAsia="Times New Roman" w:hAnsi="Times New Roman"/>
          <w:color w:val="111111"/>
          <w:sz w:val="22"/>
          <w:szCs w:val="22"/>
        </w:rPr>
        <w:t xml:space="preserve">Koga, Y. (2012). Thermal adaptation of the archaeal and bacterial lipid membranes. Archaea, 2012, 789652.</w:t>
      </w:r>
    </w:p>
    <w:p>
      <w:pPr>
        <w:spacing w:after="40" w:before="40"/>
        <w:ind w:left="480" w:hanging="480"/>
      </w:pPr>
      <w:r>
        <w:rPr>
          <w:rFonts w:ascii="Times New Roman" w:cs="Times New Roman" w:eastAsia="Times New Roman" w:hAnsi="Times New Roman"/>
          <w:b/>
          <w:bCs/>
          <w:color w:val="111111"/>
          <w:sz w:val="22"/>
          <w:szCs w:val="22"/>
        </w:rPr>
        <w:t xml:space="preserve">4. </w:t>
      </w:r>
      <w:r>
        <w:rPr>
          <w:rFonts w:ascii="Times New Roman" w:cs="Times New Roman" w:eastAsia="Times New Roman" w:hAnsi="Times New Roman"/>
          <w:color w:val="111111"/>
          <w:sz w:val="22"/>
          <w:szCs w:val="22"/>
        </w:rPr>
        <w:t xml:space="preserve">Middleton, C.T., de La Harpe, K., Su, C., Law, Y.K., Crespo-Hernández, C.E., Kohler, B. (2009). DNA excited-state dynamics: from single bases to the double helix. Annual Review of Physical Chemistry, 60, 217–239.</w:t>
      </w:r>
    </w:p>
    <w:p>
      <w:pPr>
        <w:spacing w:after="40" w:before="40"/>
        <w:ind w:left="480" w:hanging="480"/>
      </w:pPr>
      <w:r>
        <w:rPr>
          <w:rFonts w:ascii="Times New Roman" w:cs="Times New Roman" w:eastAsia="Times New Roman" w:hAnsi="Times New Roman"/>
          <w:b/>
          <w:bCs/>
          <w:color w:val="111111"/>
          <w:sz w:val="22"/>
          <w:szCs w:val="22"/>
        </w:rPr>
        <w:t xml:space="preserve">5. </w:t>
      </w:r>
      <w:r>
        <w:rPr>
          <w:rFonts w:ascii="Times New Roman" w:cs="Times New Roman" w:eastAsia="Times New Roman" w:hAnsi="Times New Roman"/>
          <w:color w:val="111111"/>
          <w:sz w:val="22"/>
          <w:szCs w:val="22"/>
        </w:rPr>
        <w:t xml:space="preserve">Miller, S.L., Urey, H.C. (1953). Organic compound synthesis on the primitive earth. Science, 117(3046), 528–529.</w:t>
      </w:r>
    </w:p>
    <w:p>
      <w:pPr>
        <w:spacing w:after="40" w:before="40"/>
        <w:ind w:left="480" w:hanging="480"/>
      </w:pPr>
      <w:r>
        <w:rPr>
          <w:rFonts w:ascii="Times New Roman" w:cs="Times New Roman" w:eastAsia="Times New Roman" w:hAnsi="Times New Roman"/>
          <w:b/>
          <w:bCs/>
          <w:color w:val="111111"/>
          <w:sz w:val="22"/>
          <w:szCs w:val="22"/>
        </w:rPr>
        <w:t xml:space="preserve">6. </w:t>
      </w:r>
      <w:r>
        <w:rPr>
          <w:rFonts w:ascii="Times New Roman" w:cs="Times New Roman" w:eastAsia="Times New Roman" w:hAnsi="Times New Roman"/>
          <w:color w:val="111111"/>
          <w:sz w:val="22"/>
          <w:szCs w:val="22"/>
        </w:rPr>
        <w:t xml:space="preserve">Montagnier, L., Aïssa, J., Ferris, S., Montagnier, J.L., Lavallee, C. (2009). Electromagnetic signals are produced by aqueous nanostructures derived from bacterial DNA sequences. Interdisciplinary Sciences: Computational Life Sciences, 1(2), 81–90.</w:t>
      </w:r>
    </w:p>
    <w:p>
      <w:pPr>
        <w:spacing w:after="40" w:before="40"/>
        <w:ind w:left="480" w:hanging="480"/>
      </w:pPr>
      <w:r>
        <w:rPr>
          <w:rFonts w:ascii="Times New Roman" w:cs="Times New Roman" w:eastAsia="Times New Roman" w:hAnsi="Times New Roman"/>
          <w:b/>
          <w:bCs/>
          <w:color w:val="111111"/>
          <w:sz w:val="22"/>
          <w:szCs w:val="22"/>
        </w:rPr>
        <w:t xml:space="preserve">7. </w:t>
      </w:r>
      <w:r>
        <w:rPr>
          <w:rFonts w:ascii="Times New Roman" w:cs="Times New Roman" w:eastAsia="Times New Roman" w:hAnsi="Times New Roman"/>
          <w:color w:val="111111"/>
          <w:sz w:val="22"/>
          <w:szCs w:val="22"/>
        </w:rPr>
        <w:t xml:space="preserve">Montagnier, L., Aïssa, J., Lavallee, C., Del Giudice, E., Vitiello, G. (2015). Transduction of DNA information through water and electromagnetic waves. Electromagnetic Biology and Medicine, 34(2), 106–112.</w:t>
      </w:r>
    </w:p>
    <w:p>
      <w:pPr>
        <w:spacing w:after="40" w:before="40"/>
        <w:ind w:left="480" w:hanging="480"/>
      </w:pPr>
      <w:r>
        <w:rPr>
          <w:rFonts w:ascii="Times New Roman" w:cs="Times New Roman" w:eastAsia="Times New Roman" w:hAnsi="Times New Roman"/>
          <w:b/>
          <w:bCs/>
          <w:color w:val="111111"/>
          <w:sz w:val="22"/>
          <w:szCs w:val="22"/>
        </w:rPr>
        <w:t xml:space="preserve">8. </w:t>
      </w:r>
      <w:r>
        <w:rPr>
          <w:rFonts w:ascii="Times New Roman" w:cs="Times New Roman" w:eastAsia="Times New Roman" w:hAnsi="Times New Roman"/>
          <w:color w:val="111111"/>
          <w:sz w:val="22"/>
          <w:szCs w:val="22"/>
        </w:rPr>
        <w:t xml:space="preserve">Orgel, L.E. (2004). Prebiotic chemistry and the origin of the RNA world. Critical Reviews in Biochemistry and Molecular Biology, 39(2), 99–123.</w:t>
      </w:r>
    </w:p>
    <w:p>
      <w:pPr>
        <w:spacing w:after="40" w:before="40"/>
        <w:ind w:left="480" w:hanging="480"/>
      </w:pPr>
      <w:r>
        <w:rPr>
          <w:rFonts w:ascii="Times New Roman" w:cs="Times New Roman" w:eastAsia="Times New Roman" w:hAnsi="Times New Roman"/>
          <w:b/>
          <w:bCs/>
          <w:color w:val="111111"/>
          <w:sz w:val="22"/>
          <w:szCs w:val="22"/>
        </w:rPr>
        <w:t xml:space="preserve">9. </w:t>
      </w:r>
      <w:r>
        <w:rPr>
          <w:rFonts w:ascii="Times New Roman" w:cs="Times New Roman" w:eastAsia="Times New Roman" w:hAnsi="Times New Roman"/>
          <w:color w:val="111111"/>
          <w:sz w:val="22"/>
          <w:szCs w:val="22"/>
        </w:rPr>
        <w:t xml:space="preserve">Palmans, A.R.A., Meijer, E.W. (2007). Amplification of chirality in dynamic supramolecular aggregates. Angewandte Chemie International Edition, 46(47), 8948–8968.</w:t>
      </w:r>
    </w:p>
    <w:p>
      <w:pPr>
        <w:spacing w:after="40" w:before="40"/>
        <w:ind w:left="480" w:hanging="480"/>
      </w:pPr>
      <w:r>
        <w:rPr>
          <w:rFonts w:ascii="Times New Roman" w:cs="Times New Roman" w:eastAsia="Times New Roman" w:hAnsi="Times New Roman"/>
          <w:b/>
          <w:bCs/>
          <w:color w:val="111111"/>
          <w:sz w:val="22"/>
          <w:szCs w:val="22"/>
        </w:rPr>
        <w:t xml:space="preserve">10. </w:t>
      </w:r>
      <w:r>
        <w:rPr>
          <w:rFonts w:ascii="Times New Roman" w:cs="Times New Roman" w:eastAsia="Times New Roman" w:hAnsi="Times New Roman"/>
          <w:color w:val="111111"/>
          <w:sz w:val="22"/>
          <w:szCs w:val="22"/>
        </w:rPr>
        <w:t xml:space="preserve">Pietruszka, M., Olszewska, M., Machnicka, A. (2024). Ultra-weak photon emission from DNA. Scientific Reports, 14, 28847.</w:t>
      </w:r>
    </w:p>
    <w:p>
      <w:pPr>
        <w:spacing w:after="40" w:before="40"/>
        <w:ind w:left="480" w:hanging="480"/>
      </w:pPr>
      <w:r>
        <w:rPr>
          <w:rFonts w:ascii="Times New Roman" w:cs="Times New Roman" w:eastAsia="Times New Roman" w:hAnsi="Times New Roman"/>
          <w:b/>
          <w:bCs/>
          <w:color w:val="111111"/>
          <w:sz w:val="22"/>
          <w:szCs w:val="22"/>
        </w:rPr>
        <w:t xml:space="preserve">11. </w:t>
      </w:r>
      <w:r>
        <w:rPr>
          <w:rFonts w:ascii="Times New Roman" w:cs="Times New Roman" w:eastAsia="Times New Roman" w:hAnsi="Times New Roman"/>
          <w:color w:val="111111"/>
          <w:sz w:val="22"/>
          <w:szCs w:val="22"/>
        </w:rPr>
        <w:t xml:space="preserve">Popp, F.A. (1992). Some essential questions of biophoton research and probable answers. In F.A. Popp, K.H. Li, Q. Gu (Eds.), Recent Advances in Biophoton Research and its Applications. World Scientific, Singapore.</w:t>
      </w:r>
    </w:p>
    <w:p>
      <w:pPr>
        <w:spacing w:after="40" w:before="40"/>
        <w:ind w:left="480" w:hanging="480"/>
      </w:pPr>
      <w:r>
        <w:rPr>
          <w:rFonts w:ascii="Times New Roman" w:cs="Times New Roman" w:eastAsia="Times New Roman" w:hAnsi="Times New Roman"/>
          <w:b/>
          <w:bCs/>
          <w:color w:val="111111"/>
          <w:sz w:val="22"/>
          <w:szCs w:val="22"/>
        </w:rPr>
        <w:t xml:space="preserve">12. </w:t>
      </w:r>
      <w:r>
        <w:rPr>
          <w:rFonts w:ascii="Times New Roman" w:cs="Times New Roman" w:eastAsia="Times New Roman" w:hAnsi="Times New Roman"/>
          <w:color w:val="111111"/>
          <w:sz w:val="22"/>
          <w:szCs w:val="22"/>
        </w:rPr>
        <w:t xml:space="preserve">Popper, K.R. (1959). The Logic of Scientific Discovery. Hutchinson, London.</w:t>
      </w:r>
    </w:p>
    <w:p>
      <w:pPr>
        <w:spacing w:after="0" w:before="160"/>
      </w:pPr>
    </w:p>
    <w:p>
      <w:pPr>
        <w:pBdr>
          <w:bottom w:val="single" w:color="AAAAAA" w:sz="1" w:space="1"/>
        </w:pBdr>
        <w:spacing w:after="240" w:before="240"/>
      </w:pPr>
    </w:p>
    <w:p>
      <w:pPr>
        <w:spacing w:after="160" w:before="0"/>
      </w:pPr>
      <w:r>
        <w:rPr>
          <w:rFonts w:ascii="Times New Roman" w:cs="Times New Roman" w:eastAsia="Times New Roman" w:hAnsi="Times New Roman"/>
          <w:color w:val="111111"/>
          <w:sz w:val="24"/>
          <w:szCs w:val="24"/>
        </w:rPr>
        <w:t xml:space="preserve">Author note: Hernán Diego Herrero is an independent researcher affiliated with the Hijos de la Basura Research Initiative, Córdoba, Argentina. This work was developed without institutional affiliation or external funding. Correspondence and requests for experimental collaboration are welcome. The author explicitly invites attempts to falsify the predictions presented in Section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1" w:space="3"/>
      </w:pBdr>
      <w:jc w:val="center"/>
    </w:pPr>
    <w:r>
      <w:rPr>
        <w:rFonts w:ascii="Times New Roman" w:cs="Times New Roman" w:eastAsia="Times New Roman" w:hAnsi="Times New Roman"/>
        <w:color w:val="8892a4"/>
        <w:sz w:val="18"/>
        <w:szCs w:val="18"/>
      </w:rPr>
      <w:t xml:space="preserve">Origins of Life and Evolution of Biospheres — Submitted April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1" w:space="3"/>
      </w:pBdr>
    </w:pPr>
    <w:r>
      <w:rPr>
        <w:rFonts w:ascii="Times New Roman" w:cs="Times New Roman" w:eastAsia="Times New Roman" w:hAnsi="Times New Roman"/>
        <w:color w:val="8892a4"/>
        <w:sz w:val="18"/>
        <w:szCs w:val="18"/>
      </w:rPr>
      <w:t xml:space="preserve">Herrero, H.D.  |  Helical Polymerization as Continuous Origin of Life  |  Preprint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11111"/>
      <w:sz w:val="24"/>
      <w:szCs w:val="24"/>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2026-04-23T05:49:03.968Z</dcterms:created>
  <dcterms:modified xsi:type="dcterms:W3CDTF">2026-04-23T05:49:03.987Z</dcterms:modified>
</cp:coreProperties>
</file>

<file path=docProps/custom.xml><?xml version="1.0" encoding="utf-8"?>
<Properties xmlns="http://schemas.openxmlformats.org/officeDocument/2006/custom-properties" xmlns:vt="http://schemas.openxmlformats.org/officeDocument/2006/docPropsVTypes"/>
</file>