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Times New Roman" w:cs="Times New Roman" w:eastAsia="Times New Roman" w:hAnsi="Times New Roman"/>
          <w:b/>
          <w:bCs/>
          <w:caps/>
          <w:sz w:val="36"/>
          <w:szCs w:val="36"/>
        </w:rPr>
        <w:t xml:space="preserve">NACIONES UNIDAS DEL QUINTO SOL:</w:t>
      </w:r>
    </w:p>
    <w:p>
      <w:pPr>
        <w:spacing w:after="80" w:before="0"/>
        <w:jc w:val="center"/>
      </w:pPr>
      <w:r>
        <w:rPr>
          <w:rFonts w:ascii="Times New Roman" w:cs="Times New Roman" w:eastAsia="Times New Roman" w:hAnsi="Times New Roman"/>
          <w:b/>
          <w:bCs/>
          <w:sz w:val="30"/>
          <w:szCs w:val="30"/>
        </w:rPr>
        <w:t xml:space="preserve">LA SOLUCIÓN ANDINA COMO IMPERATIVO LOGÍSTICO,</w:t>
      </w:r>
    </w:p>
    <w:p>
      <w:pPr>
        <w:spacing w:after="400" w:before="0"/>
        <w:jc w:val="center"/>
      </w:pPr>
      <w:r>
        <w:rPr>
          <w:rFonts w:ascii="Times New Roman" w:cs="Times New Roman" w:eastAsia="Times New Roman" w:hAnsi="Times New Roman"/>
          <w:b/>
          <w:bCs/>
          <w:sz w:val="30"/>
          <w:szCs w:val="30"/>
        </w:rPr>
        <w:t xml:space="preserve">GEOPOLÍTICO Y CIVILIZATORIO</w:t>
      </w:r>
    </w:p>
    <w:p>
      <w:pPr>
        <w:spacing w:after="80" w:before="0"/>
        <w:jc w:val="center"/>
      </w:pPr>
      <w:r>
        <w:rPr>
          <w:rFonts w:ascii="Times New Roman" w:cs="Times New Roman" w:eastAsia="Times New Roman" w:hAnsi="Times New Roman"/>
          <w:b/>
          <w:bCs/>
          <w:sz w:val="24"/>
          <w:szCs w:val="24"/>
        </w:rPr>
        <w:t xml:space="preserve">Hernán Diego Herrero</w:t>
      </w:r>
    </w:p>
    <w:p>
      <w:pPr>
        <w:spacing w:after="80" w:before="0"/>
        <w:jc w:val="center"/>
      </w:pPr>
      <w:r>
        <w:rPr>
          <w:rFonts w:ascii="Times New Roman" w:cs="Times New Roman" w:eastAsia="Times New Roman" w:hAnsi="Times New Roman"/>
          <w:i/>
          <w:iCs/>
          <w:sz w:val="22"/>
          <w:szCs w:val="22"/>
        </w:rPr>
        <w:t xml:space="preserve">Fundación Hijos del Sol y la Basura, Córdoba, Argentina</w:t>
      </w:r>
    </w:p>
    <w:p>
      <w:pPr>
        <w:spacing w:after="80" w:before="0"/>
        <w:jc w:val="center"/>
      </w:pPr>
      <w:r>
        <w:rPr>
          <w:rFonts w:ascii="Times New Roman" w:cs="Times New Roman" w:eastAsia="Times New Roman" w:hAnsi="Times New Roman"/>
          <w:sz w:val="22"/>
          <w:szCs w:val="22"/>
        </w:rPr>
        <w:t xml:space="preserve">Junio de 2026</w:t>
      </w:r>
    </w:p>
    <w:p>
      <w:pPr>
        <w:spacing w:after="80" w:before="0"/>
        <w:jc w:val="center"/>
      </w:pPr>
      <w:r>
        <w:rPr>
          <w:rFonts w:ascii="Times New Roman" w:cs="Times New Roman" w:eastAsia="Times New Roman" w:hAnsi="Times New Roman"/>
          <w:color w:val="666666"/>
          <w:sz w:val="20"/>
          <w:szCs w:val="20"/>
        </w:rPr>
        <w:t xml:space="preserve">Licencia: CC BY-SA 4.0</w:t>
      </w:r>
    </w:p>
    <w:p>
      <w:pPr>
        <w:pBdr>
          <w:bottom w:val="single" w:color="888888" w:sz="4" w:space="1"/>
        </w:pBdr>
        <w:spacing w:after="240" w:before="240"/>
      </w:pPr>
    </w:p>
    <w:p>
      <w:pPr>
        <w:spacing w:after="120" w:before="240"/>
        <w:jc w:val="center"/>
      </w:pPr>
      <w:r>
        <w:rPr>
          <w:rFonts w:ascii="Times New Roman" w:cs="Times New Roman" w:eastAsia="Times New Roman" w:hAnsi="Times New Roman"/>
          <w:b/>
          <w:bCs/>
          <w:sz w:val="24"/>
          <w:szCs w:val="24"/>
        </w:rPr>
        <w:t xml:space="preserve">RESUMEN</w:t>
      </w:r>
    </w:p>
    <w:p>
      <w:pPr>
        <w:spacing w:after="160" w:before="0"/>
        <w:ind w:left="720" w:right="720"/>
        <w:jc w:val="both"/>
      </w:pPr>
      <w:r>
        <w:rPr>
          <w:rFonts w:ascii="Times New Roman" w:cs="Times New Roman" w:eastAsia="Times New Roman" w:hAnsi="Times New Roman"/>
          <w:sz w:val="22"/>
          <w:szCs w:val="22"/>
        </w:rPr>
        <w:t xml:space="preserve">El presente ensayo propone que la fragmentación política entre Perú, Bolivia y Ecuador no constituye un resultado natural de la historia andina, sino una construcción deliberada nacida del proceso colonial tardío y consolidada por élites centralistas en el siglo XIX. A través de un análisis que integra dimensiones geopolíticas, logísticas, financieras y civilizatorias, se argumenta que la integración andina —denominada aquí 'La Solución Andina'— es la respuesta más eficiente, estable y soberana a los desafíos del siglo XXI para los pueblos de la región. El paper examina los costos de la fragmentación en términos de gasto en defensa, barreras arancelarias, desigualdad distributiva y pérdida de poder de negociación frente a mercados globales, y propone un modelo de integración confederal-plurinacional con descentralización funcional en nodos regionales. La denominación simbólica 'Naciones Unidas del Quinto Sol' es introducida como marco identitario que ancla el proyecto político en la continuidad civilizatoria de los pueblos andinos, superando el paradigma republicano-excluyente.</w:t>
      </w:r>
    </w:p>
    <w:p>
      <w:pPr>
        <w:spacing w:after="240" w:before="0"/>
        <w:ind w:left="720" w:right="720"/>
        <w:jc w:val="both"/>
      </w:pPr>
      <w:r>
        <w:rPr>
          <w:rFonts w:ascii="Times New Roman" w:cs="Times New Roman" w:eastAsia="Times New Roman" w:hAnsi="Times New Roman"/>
          <w:b/>
          <w:bCs/>
          <w:sz w:val="22"/>
          <w:szCs w:val="22"/>
        </w:rPr>
        <w:t xml:space="preserve">Palabras clave: </w:t>
      </w:r>
      <w:r>
        <w:rPr>
          <w:rFonts w:ascii="Times New Roman" w:cs="Times New Roman" w:eastAsia="Times New Roman" w:hAnsi="Times New Roman"/>
          <w:sz w:val="22"/>
          <w:szCs w:val="22"/>
        </w:rPr>
        <w:t xml:space="preserve">integración andina, geopolítica, eficiencia logística, soberanía, plurinacionalidad, Tawantinsuyu, Buen Vivir, descentralización, recursos estratégicos.</w:t>
      </w:r>
    </w:p>
    <w:p>
      <w:pPr>
        <w:pBdr>
          <w:bottom w:val="single" w:color="888888" w:sz="4" w:space="1"/>
        </w:pBdr>
        <w:spacing w:after="240" w:before="240"/>
      </w:pPr>
    </w:p>
    <w:p>
      <w:pPr>
        <w:pStyle w:val="Heading1"/>
        <w:spacing w:after="180" w:before="360"/>
      </w:pPr>
      <w:r>
        <w:rPr>
          <w:rFonts w:ascii="Times New Roman" w:cs="Times New Roman" w:eastAsia="Times New Roman" w:hAnsi="Times New Roman"/>
          <w:b/>
          <w:bCs/>
          <w:sz w:val="28"/>
          <w:szCs w:val="28"/>
        </w:rPr>
        <w:t xml:space="preserve">1. INTRODUCCIÓN: EL PROBLEMA DE LA FRONTERA COMO CONSTRUCCIÓN FORÁNEA</w:t>
      </w:r>
    </w:p>
    <w:p>
      <w:pPr>
        <w:spacing w:after="160" w:before="0"/>
        <w:ind w:firstLine="720"/>
        <w:jc w:val="both"/>
      </w:pPr>
      <w:r>
        <w:rPr>
          <w:rFonts w:ascii="Times New Roman" w:cs="Times New Roman" w:eastAsia="Times New Roman" w:hAnsi="Times New Roman"/>
          <w:sz w:val="24"/>
          <w:szCs w:val="24"/>
        </w:rPr>
        <w:t xml:space="preserve">El territorio andino comprendido entre los actuales Ecuador, Perú y Bolivia constituye una de las unidades geográficas, ecológicas y culturales más coherentes del planeta. Durante aproximadamente cuatro siglos antes de la conquista europea, el Tawantinsuyu organizó este espacio bajo una lógica de complementariedad de pisos ecológicos (Murra, 1972), de circulación de bienes y saberes a través del Qhapaq Ñan, y de un principio de reciprocidad institucionalizada conocido como ayni. Esta unidad no fue accidental: respondía a la estructura física de los Andes como columna vertebral del continente sudamericano y a la necesidad de gestionar la diversidad altitudinal para garantizar la autosuficiencia alimentaria y material de las poblaciones.</w:t>
      </w:r>
    </w:p>
    <w:p>
      <w:pPr>
        <w:spacing w:after="160" w:before="0"/>
        <w:ind w:firstLine="720"/>
        <w:jc w:val="both"/>
      </w:pPr>
      <w:r>
        <w:rPr>
          <w:rFonts w:ascii="Times New Roman" w:cs="Times New Roman" w:eastAsia="Times New Roman" w:hAnsi="Times New Roman"/>
          <w:sz w:val="24"/>
          <w:szCs w:val="24"/>
        </w:rPr>
        <w:t xml:space="preserve">Las fronteras que hoy separan a estos tres países no emergieron de identidades nacionales preexistentes ni de voluntades populares expresadas democráticamente. Fueron, en gran medida, el producto de divisiones administrativas coloniales —las Audiencias de Quito, Lima y Charcas— que las élites criollas republicanas elevaron a categoría de fronteras nacionales en el siglo XIX, frecuentemente mediante guerras y acuerdos diplomáticos que no consultaron a las poblaciones afectadas (Bonilla, 1987; Larson, 2004). El proceso ha sido descrito por diversos autores como una 'balcanización' deliberada de Sudamérica, análoga a las divisiones impuestas en África o el Medio Oriente por potencias coloniales para fragmentar actores potencialmente amenazantes para el orden geopolítico global (Quijano, 2000).</w:t>
      </w:r>
    </w:p>
    <w:p>
      <w:pPr>
        <w:spacing w:after="160" w:before="0"/>
        <w:ind w:firstLine="720"/>
        <w:jc w:val="both"/>
      </w:pPr>
      <w:r>
        <w:rPr>
          <w:rFonts w:ascii="Times New Roman" w:cs="Times New Roman" w:eastAsia="Times New Roman" w:hAnsi="Times New Roman"/>
          <w:sz w:val="24"/>
          <w:szCs w:val="24"/>
        </w:rPr>
        <w:t xml:space="preserve">El objetivo de este trabajo es doble: (1) demostrar que la fragmentación actual entre Ecuador, Perú y Bolivia genera costos sistémicos medibles en términos económicos, logísticos y de seguridad que suponen un lastre para el desarrollo de sus poblaciones; y (2) proponer un marco conceptual para una integración confederal-plurinacional —la 'Solución Andina' o 'Naciones Unidas del Quinto Sol'— que no requiera una fusión burocrática inmediata, sino una erosión funcional de las fronteras a partir de la eficiencia logística, la soberanía compartida sobre recursos estratégicos y la representación real de las mayorías culturales andinas.</w:t>
      </w:r>
    </w:p>
    <w:p>
      <w:pPr>
        <w:pStyle w:val="Heading1"/>
        <w:spacing w:after="180" w:before="360"/>
      </w:pPr>
      <w:r>
        <w:rPr>
          <w:rFonts w:ascii="Times New Roman" w:cs="Times New Roman" w:eastAsia="Times New Roman" w:hAnsi="Times New Roman"/>
          <w:b/>
          <w:bCs/>
          <w:sz w:val="28"/>
          <w:szCs w:val="28"/>
        </w:rPr>
        <w:t xml:space="preserve">2. EL COSTO SISTÉMICO DE LA FRAGMENTACIÓN</w:t>
      </w:r>
    </w:p>
    <w:p>
      <w:pPr>
        <w:pStyle w:val="Heading2"/>
        <w:spacing w:after="140" w:before="280"/>
      </w:pPr>
      <w:r>
        <w:rPr>
          <w:rFonts w:ascii="Times New Roman" w:cs="Times New Roman" w:eastAsia="Times New Roman" w:hAnsi="Times New Roman"/>
          <w:b/>
          <w:bCs/>
          <w:i w:val="false"/>
          <w:iCs w:val="false"/>
          <w:sz w:val="26"/>
          <w:szCs w:val="26"/>
        </w:rPr>
        <w:t xml:space="preserve">2.1 Gasto militar y el dividendo de la paz</w:t>
      </w:r>
    </w:p>
    <w:p>
      <w:pPr>
        <w:spacing w:after="160" w:before="0"/>
        <w:ind w:firstLine="720"/>
        <w:jc w:val="both"/>
      </w:pPr>
      <w:r>
        <w:rPr>
          <w:rFonts w:ascii="Times New Roman" w:cs="Times New Roman" w:eastAsia="Times New Roman" w:hAnsi="Times New Roman"/>
          <w:sz w:val="24"/>
          <w:szCs w:val="24"/>
        </w:rPr>
        <w:t xml:space="preserve">Perú, Bolivia y Ecuador destinan en conjunto aproximadamente 4.500 millones de dólares anuales a gasto en defensa (SIPRI, 2024). Una parte significativa de este presupuesto se justifica, histórica y doctrinalmente, en relación con tensiones fronterizas mutuas: el diferendo marítimo peruano-chileno-boliviano, los conflictos territoriales ecuatoriano-peruanos del siglo XX (resueltos solo en 1998 con el Protocolo de Brasilia) y las disputas sobre recursos hídricos en zonas de triple frontera. La unificación política eliminaría la racionalidad de este gasto, liberando recursos equivalentes a múltiples programas sociales nacionales —un fenómeno conocido en la literatura de economía política como el 'dividendo de la paz' (Brauer &amp; Dunne, 2012).</w:t>
      </w:r>
    </w:p>
    <w:p>
      <w:pPr>
        <w:pStyle w:val="Heading2"/>
        <w:spacing w:after="140" w:before="280"/>
      </w:pPr>
      <w:r>
        <w:rPr>
          <w:rFonts w:ascii="Times New Roman" w:cs="Times New Roman" w:eastAsia="Times New Roman" w:hAnsi="Times New Roman"/>
          <w:b/>
          <w:bCs/>
          <w:i w:val="false"/>
          <w:iCs w:val="false"/>
          <w:sz w:val="26"/>
          <w:szCs w:val="26"/>
        </w:rPr>
        <w:t xml:space="preserve">2.2 Fricción arancelaria y pérdida de eficiencia logística</w:t>
      </w:r>
    </w:p>
    <w:p>
      <w:pPr>
        <w:spacing w:after="160" w:before="0"/>
        <w:ind w:firstLine="720"/>
        <w:jc w:val="both"/>
      </w:pPr>
      <w:r>
        <w:rPr>
          <w:rFonts w:ascii="Times New Roman" w:cs="Times New Roman" w:eastAsia="Times New Roman" w:hAnsi="Times New Roman"/>
          <w:sz w:val="24"/>
          <w:szCs w:val="24"/>
        </w:rPr>
        <w:t xml:space="preserve">A pesar de la existencia de la Comunidad Andina (CAN), establecida en 1969 mediante el Acuerdo de Cartagena, las barreras no arancelarias, los controles fronterizos y las asimetrías regulatorias siguen generando costos de transacción significativos para el comercio intrarregional. Estudios del Banco Interamericano de Desarrollo (BID, 2020) estiman que los costos de transporte interno en los países andinos son entre 30% y 50% superiores a los de regiones comparables con mayor integración logística, como el sudeste asiático. Este diferencial se traduce directamente en mayores precios para los consumidores finales y en menor competitividad de los productores locales, particularmente de los pequeños agricultores y artesanos de la sierra.</w:t>
      </w:r>
    </w:p>
    <w:p>
      <w:pPr>
        <w:pStyle w:val="Heading2"/>
        <w:spacing w:after="140" w:before="280"/>
      </w:pPr>
      <w:r>
        <w:rPr>
          <w:rFonts w:ascii="Times New Roman" w:cs="Times New Roman" w:eastAsia="Times New Roman" w:hAnsi="Times New Roman"/>
          <w:b/>
          <w:bCs/>
          <w:i w:val="false"/>
          <w:iCs w:val="false"/>
          <w:sz w:val="26"/>
          <w:szCs w:val="26"/>
        </w:rPr>
        <w:t xml:space="preserve">2.3 La carrera al fondo en la captación de inversión extractiva</w:t>
      </w:r>
    </w:p>
    <w:p>
      <w:pPr>
        <w:spacing w:after="160" w:before="0"/>
        <w:ind w:firstLine="720"/>
        <w:jc w:val="both"/>
      </w:pPr>
      <w:r>
        <w:rPr>
          <w:rFonts w:ascii="Times New Roman" w:cs="Times New Roman" w:eastAsia="Times New Roman" w:hAnsi="Times New Roman"/>
          <w:sz w:val="24"/>
          <w:szCs w:val="24"/>
        </w:rPr>
        <w:t xml:space="preserve">Uno de los costos más dañinos de la fragmentación es la competencia entre los tres países por captar inversión extractiva transnacional en condiciones cada vez más favorables para las empresas y desfavorables para los Estados. Al operar como unidades separadas, Perú, Bolivia y Ecuador no pueden actuar como 'formadores de precios' en los mercados de litio, cobre o gas; deben comportarse como 'tomadores de precios', aceptando las condiciones que dictan las corporaciones multinacionales bajo amenaza de que la inversión se traslade al país vecino (Acosta, 2013; Gudynas, 2015). Un bloque unificado que controlase simultáneamente las reservas de litio del Salar de Uyuni (Bolivia), los yacimientos de cobre de Cerro Verde y Las Bambas (Perú) y los campos petrolíferos amazónicos (Ecuador) tendría una capacidad de negociación estructuralmente diferente.</w:t>
      </w:r>
    </w:p>
    <w:p>
      <w:pPr>
        <w:pStyle w:val="Heading1"/>
        <w:spacing w:after="180" w:before="360"/>
      </w:pPr>
      <w:r>
        <w:rPr>
          <w:rFonts w:ascii="Times New Roman" w:cs="Times New Roman" w:eastAsia="Times New Roman" w:hAnsi="Times New Roman"/>
          <w:b/>
          <w:bCs/>
          <w:sz w:val="28"/>
          <w:szCs w:val="28"/>
        </w:rPr>
        <w:t xml:space="preserve">3. LA CONTINUIDAD CULTURAL COMO FUNDAMENTO POLÍTICO</w:t>
      </w:r>
    </w:p>
    <w:p>
      <w:pPr>
        <w:pStyle w:val="Heading2"/>
        <w:spacing w:after="140" w:before="280"/>
      </w:pPr>
      <w:r>
        <w:rPr>
          <w:rFonts w:ascii="Times New Roman" w:cs="Times New Roman" w:eastAsia="Times New Roman" w:hAnsi="Times New Roman"/>
          <w:b/>
          <w:bCs/>
          <w:i w:val="false"/>
          <w:iCs w:val="false"/>
          <w:sz w:val="26"/>
          <w:szCs w:val="26"/>
        </w:rPr>
        <w:t xml:space="preserve">3.1 La unidad andina preexiste al Estado-nación</w:t>
      </w:r>
    </w:p>
    <w:p>
      <w:pPr>
        <w:spacing w:after="160" w:before="0"/>
        <w:ind w:firstLine="720"/>
        <w:jc w:val="both"/>
      </w:pPr>
      <w:r>
        <w:rPr>
          <w:rFonts w:ascii="Times New Roman" w:cs="Times New Roman" w:eastAsia="Times New Roman" w:hAnsi="Times New Roman"/>
          <w:sz w:val="24"/>
          <w:szCs w:val="24"/>
        </w:rPr>
        <w:t xml:space="preserve">La imposición del Estado-nación republicano sobre el territorio andino implicó un esfuerzo sistemático de construcción de identidades nacionales excluyentes mediante los aparatos educativos, militares y simbólicos del poder central. Sin embargo, la evidencia etnográfica, lingüística e histórica muestra que la continuidad cultural andina es más profunda y más persistente que estas identidades construidas. El quechua sigue siendo una lengua franca entre comunidades de la sierra peruana, el altiplano boliviano y los Andes ecuatorianos, con aproximadamente 8 a 10 millones de hablantes distribuidos a lo largo de esta franja (Cerrón-Palomino, 2003). La cosmovisión andina —articulada alrededor de conceptos como Pachamama, Sumak Kawsay ('Buen Vivir') y Ayni— constituye un sustrato compartido que las fronteras nacionales no han logrado fragmentar.</w:t>
      </w:r>
    </w:p>
    <w:p>
      <w:pPr>
        <w:pStyle w:val="Heading2"/>
        <w:spacing w:after="140" w:before="280"/>
      </w:pPr>
      <w:r>
        <w:rPr>
          <w:rFonts w:ascii="Times New Roman" w:cs="Times New Roman" w:eastAsia="Times New Roman" w:hAnsi="Times New Roman"/>
          <w:b/>
          <w:bCs/>
          <w:i w:val="false"/>
          <w:iCs w:val="false"/>
          <w:sz w:val="26"/>
          <w:szCs w:val="26"/>
        </w:rPr>
        <w:t xml:space="preserve">3.2 Los movimientos indígenas como vanguardia transnacional</w:t>
      </w:r>
    </w:p>
    <w:p>
      <w:pPr>
        <w:spacing w:after="160" w:before="0"/>
        <w:ind w:firstLine="720"/>
        <w:jc w:val="both"/>
      </w:pPr>
      <w:r>
        <w:rPr>
          <w:rFonts w:ascii="Times New Roman" w:cs="Times New Roman" w:eastAsia="Times New Roman" w:hAnsi="Times New Roman"/>
          <w:sz w:val="24"/>
          <w:szCs w:val="24"/>
        </w:rPr>
        <w:t xml:space="preserve">Desde los años 1990, los movimientos indígenas de los tres países han construido redes de articulación que operan efectivamente como una proto-institucionalidad transnacional. La Confederación de Nacionalidades Indígenas del Ecuador (CONAIE), el Movimiento al Socialismo (MAS) boliviano en sus orígenes sindicales cocaleros, y las Rondas Campesinas y Comunidades Indígenas peruanas comparten marcos de demanda centrados en la plurinacionalidad, la territorialidad y la soberanía sobre recursos naturales (García Linera, 2008; Yashar, 2005). La adopción del concepto de Sumak Kawsay en las constituciones de Ecuador (2008) y Bolivia (2009) representa el primer momento en que una categoría conceptual andina transnacional adquirió fuerza normativa en el derecho constitucional moderno.</w:t>
      </w:r>
    </w:p>
    <w:p>
      <w:pPr>
        <w:pStyle w:val="Heading2"/>
        <w:spacing w:after="140" w:before="280"/>
      </w:pPr>
      <w:r>
        <w:rPr>
          <w:rFonts w:ascii="Times New Roman" w:cs="Times New Roman" w:eastAsia="Times New Roman" w:hAnsi="Times New Roman"/>
          <w:b/>
          <w:bCs/>
          <w:i w:val="false"/>
          <w:iCs w:val="false"/>
          <w:sz w:val="26"/>
          <w:szCs w:val="26"/>
        </w:rPr>
        <w:t xml:space="preserve">3.3 'Naciones Unidas del Quinto Sol': el nombre como acto político</w:t>
      </w:r>
    </w:p>
    <w:p>
      <w:pPr>
        <w:spacing w:after="160" w:before="0"/>
        <w:ind w:firstLine="720"/>
        <w:jc w:val="both"/>
      </w:pPr>
      <w:r>
        <w:rPr>
          <w:rFonts w:ascii="Times New Roman" w:cs="Times New Roman" w:eastAsia="Times New Roman" w:hAnsi="Times New Roman"/>
          <w:sz w:val="24"/>
          <w:szCs w:val="24"/>
        </w:rPr>
        <w:t xml:space="preserve">La denominación 'Naciones Unidas del Quinto Sol' propuesta en este ensayo no es un gesto meramente simbólico. El concepto del 'Quinto Sol', procedente de la cosmovisión mesoamericana y extendido en el pensamiento panindígena contemporáneo, designa un nuevo ciclo civilizatorio que emerge tras el colapso del orden anterior. Aplicado al contexto andino, funciona como marco que distingue el proyecto de integración del paradigma republicano-colonial (el 'ciclo anterior') y lo ancla en la continuidad milenaria de los pueblos de Abya Yala. A diferencia de los proyectos de integración de matriz eurocéntrica —como la propia Unión Europea, que parte del presupuesto del Estado-nación como unidad básica—, las 'Naciones Unidas del Quinto Sol' partirían del territorio, la comunidad y el pueblo como unidades constituyentes, con el Estado como instrumento al servicio de esas comunidades y no como fin en sí mismo.</w:t>
      </w:r>
    </w:p>
    <w:p>
      <w:pPr>
        <w:pStyle w:val="Heading1"/>
        <w:spacing w:after="180" w:before="360"/>
      </w:pPr>
      <w:r>
        <w:rPr>
          <w:rFonts w:ascii="Times New Roman" w:cs="Times New Roman" w:eastAsia="Times New Roman" w:hAnsi="Times New Roman"/>
          <w:b/>
          <w:bCs/>
          <w:sz w:val="28"/>
          <w:szCs w:val="28"/>
        </w:rPr>
        <w:t xml:space="preserve">4. LA SOLUCIÓN ANDINA: UN MODELO PRAGMÁTICO</w:t>
      </w:r>
    </w:p>
    <w:p>
      <w:pPr>
        <w:pStyle w:val="Heading2"/>
        <w:spacing w:after="140" w:before="280"/>
      </w:pPr>
      <w:r>
        <w:rPr>
          <w:rFonts w:ascii="Times New Roman" w:cs="Times New Roman" w:eastAsia="Times New Roman" w:hAnsi="Times New Roman"/>
          <w:b/>
          <w:bCs/>
          <w:i w:val="false"/>
          <w:iCs w:val="false"/>
          <w:sz w:val="26"/>
          <w:szCs w:val="26"/>
        </w:rPr>
        <w:t xml:space="preserve">4.1 Integración vertical en origen como motor económico</w:t>
      </w:r>
    </w:p>
    <w:p>
      <w:pPr>
        <w:spacing w:after="160" w:before="0"/>
        <w:ind w:firstLine="720"/>
        <w:jc w:val="both"/>
      </w:pPr>
      <w:r>
        <w:rPr>
          <w:rFonts w:ascii="Times New Roman" w:cs="Times New Roman" w:eastAsia="Times New Roman" w:hAnsi="Times New Roman"/>
          <w:sz w:val="24"/>
          <w:szCs w:val="24"/>
        </w:rPr>
        <w:t xml:space="preserve">El modelo extractivista vigente en los tres países exporta materia prima en estado bruto —mineral de cobre concentrado, salmueras de litio, petróleo crudo— y reimporta los productos manufacturados a precios que incorporan todo el valor agregado generado en el exterior. Este ciclo de 'exportación de tierra' (Gudynas, 2015) es intrínsecamente ineficiente desde el punto de vista logístico: se transportan enormes volúmenes de material de bajo valor específico desde zonas remotas hasta los puertos, destruyendo infraestructura vial y generando altos costos energéticos. La integración andina permitiría instalar nodos de procesamiento primario y secundario cerca de las fuentes de extracción, reduciendo el volumen transportado, aumentando el valor exportado por tonelada y generando empleo técnico en las zonas actualmente más empobrecidas de los tres países.</w:t>
      </w:r>
    </w:p>
    <w:p>
      <w:pPr>
        <w:spacing w:after="160" w:before="0"/>
        <w:ind w:firstLine="720"/>
        <w:jc w:val="both"/>
      </w:pPr>
      <w:r>
        <w:rPr>
          <w:rFonts w:ascii="Times New Roman" w:cs="Times New Roman" w:eastAsia="Times New Roman" w:hAnsi="Times New Roman"/>
          <w:sz w:val="24"/>
          <w:szCs w:val="24"/>
        </w:rPr>
        <w:t xml:space="preserve">Un ejemplo paradigmático es el litio boliviano. Bolivia posee el 20% de las reservas mundiales conocidas de litio (USGS, 2024), pero exporta fundamentalmente salmuera sin procesar debido a la falta de infraestructura energética y de transporte suficiente para la instalación de plantas de carbonato de litio en escala industrial. Ecuador posee capacidad hidroeléctrica excedentaria y Perú tiene los puertos del Pacífico mejor posicionados para el mercado asiático. La articulación de estos tres activos —bajo una sola jurisdicción logística y aduanera— generaría una cadena de valor regional que hoy es imposible por las fricciones burocráticas intrafronterizas.</w:t>
      </w:r>
    </w:p>
    <w:p>
      <w:pPr>
        <w:pStyle w:val="Heading2"/>
        <w:spacing w:after="140" w:before="280"/>
      </w:pPr>
      <w:r>
        <w:rPr>
          <w:rFonts w:ascii="Times New Roman" w:cs="Times New Roman" w:eastAsia="Times New Roman" w:hAnsi="Times New Roman"/>
          <w:b/>
          <w:bCs/>
          <w:i w:val="false"/>
          <w:iCs w:val="false"/>
          <w:sz w:val="26"/>
          <w:szCs w:val="26"/>
        </w:rPr>
        <w:t xml:space="preserve">4.2 Renegociación de deuda y soberanía financiera</w:t>
      </w:r>
    </w:p>
    <w:p>
      <w:pPr>
        <w:spacing w:after="160" w:before="0"/>
        <w:ind w:firstLine="720"/>
        <w:jc w:val="both"/>
      </w:pPr>
      <w:r>
        <w:rPr>
          <w:rFonts w:ascii="Times New Roman" w:cs="Times New Roman" w:eastAsia="Times New Roman" w:hAnsi="Times New Roman"/>
          <w:sz w:val="24"/>
          <w:szCs w:val="24"/>
        </w:rPr>
        <w:t xml:space="preserve">La deuda externa combinada de Perú, Bolivia y Ecuador supera los 130.000 millones de dólares (FMI, 2023). Un proceso de unificación política, si se gestiona adecuadamente, no implica necesariamente la asunción acumulativa de estas deudas, sino la apertura de un proceso de renegociación con acreedores internacionales análogo al que han llevado adelante otros Estados en transición (como Rusia tras la disolución soviética o la República Checa y Eslovaquia tras la 'separación de terciopelo'). El nuevo Estado contaría con un activo de negociación sin precedentes: el control sobre reservas de minerales estratégicos —litio, cobre, plata, oro— cuya demanda global crecerá exponencialmente en el contexto de la transición energética (IEA, 2023). Los acreedores internacionales, ante la perspectiva de un Estado solvente con respaldo real en recursos, tendrían incentivos para aceptar una quita o reestructuración a cambio de acceso preferencial a esos mercados.</w:t>
      </w:r>
    </w:p>
    <w:p>
      <w:pPr>
        <w:pStyle w:val="Heading2"/>
        <w:spacing w:after="140" w:before="280"/>
      </w:pPr>
      <w:r>
        <w:rPr>
          <w:rFonts w:ascii="Times New Roman" w:cs="Times New Roman" w:eastAsia="Times New Roman" w:hAnsi="Times New Roman"/>
          <w:b/>
          <w:bCs/>
          <w:i w:val="false"/>
          <w:iCs w:val="false"/>
          <w:sz w:val="26"/>
          <w:szCs w:val="26"/>
        </w:rPr>
        <w:t xml:space="preserve">4.3 Descentralización en nodos funcionales</w:t>
      </w:r>
    </w:p>
    <w:p>
      <w:pPr>
        <w:spacing w:after="160" w:before="0"/>
        <w:ind w:firstLine="720"/>
        <w:jc w:val="both"/>
      </w:pPr>
      <w:r>
        <w:rPr>
          <w:rFonts w:ascii="Times New Roman" w:cs="Times New Roman" w:eastAsia="Times New Roman" w:hAnsi="Times New Roman"/>
          <w:sz w:val="24"/>
          <w:szCs w:val="24"/>
        </w:rPr>
        <w:t xml:space="preserve">El centralismo que ha caracterizado históricamente a Lima, La Paz y Quito no es un accidente geográfico: es el resultado de políticas deliberadas de concentración del gasto público, las instituciones y el talento humano en las capitales. Un Estado andino plurinacional y federal no replicaría esta lógica. La organización territorial se estructuraría en función de nodos funcionales especializados: Cusco como capital simbólica y turístico-cultural; Lima-Callao como nodo de comercio exterior y finanzas; La Paz-El Alto como sede de la soberanía energética y política del altiplano; Cochabamba-Santa Cruz como nodo agroindustrial y de conexión con el Cono Sur; Quito-Cuenca como nodo administrativo y de innovación del corredor norte. Este modelo es consistente con la evidencia de que las economías con alta descentralización fiscal y política presentan mayor resiliencia frente a los shocks externos (Rodden, 2006; Oates, 1999).</w:t>
      </w:r>
    </w:p>
    <w:p>
      <w:pPr>
        <w:pStyle w:val="Heading1"/>
        <w:spacing w:after="180" w:before="360"/>
      </w:pPr>
      <w:r>
        <w:rPr>
          <w:rFonts w:ascii="Times New Roman" w:cs="Times New Roman" w:eastAsia="Times New Roman" w:hAnsi="Times New Roman"/>
          <w:b/>
          <w:bCs/>
          <w:sz w:val="28"/>
          <w:szCs w:val="28"/>
        </w:rPr>
        <w:t xml:space="preserve">5. OBSTÁCULOS Y RESPUESTA A LAS OBJECIONES</w:t>
      </w:r>
    </w:p>
    <w:p>
      <w:pPr>
        <w:pStyle w:val="Heading2"/>
        <w:spacing w:after="140" w:before="280"/>
      </w:pPr>
      <w:r>
        <w:rPr>
          <w:rFonts w:ascii="Times New Roman" w:cs="Times New Roman" w:eastAsia="Times New Roman" w:hAnsi="Times New Roman"/>
          <w:b/>
          <w:bCs/>
          <w:i w:val="false"/>
          <w:iCs w:val="false"/>
          <w:sz w:val="26"/>
          <w:szCs w:val="26"/>
        </w:rPr>
        <w:t xml:space="preserve">5.1 El argumento de la gobernabilidad</w:t>
      </w:r>
    </w:p>
    <w:p>
      <w:pPr>
        <w:spacing w:after="160" w:before="0"/>
        <w:ind w:firstLine="720"/>
        <w:jc w:val="both"/>
      </w:pPr>
      <w:r>
        <w:rPr>
          <w:rFonts w:ascii="Times New Roman" w:cs="Times New Roman" w:eastAsia="Times New Roman" w:hAnsi="Times New Roman"/>
          <w:sz w:val="24"/>
          <w:szCs w:val="24"/>
        </w:rPr>
        <w:t xml:space="preserve">El principal argumento contra la unificación es que la suma de tres sistemas políticos inestables generaría un sistema aún más inestable. Esta objeción, aunque intuitivamente plausible, no resiste el análisis comparado. La inestabilidad política andina no es un rasgo endémico de las sociedades andinas: es el resultado de la combinación entre Estados pequeños con escasa capacidad fiscal autónoma, dependencia de los ciclos de precios de commodities y una brecha profunda entre las élites que controlan el Estado y las mayorías que lo padecen (Acemoglu &amp; Robinson, 2012). Ninguno de estos factores estructurales empeora necesariamente con la integración: al contrario, la diversificación económica y la ampliación de la base fiscal que genera un mercado interno de 64 millones de personas son factores que reducen la vulnerabilidad a los shocks externos.</w:t>
      </w:r>
    </w:p>
    <w:p>
      <w:pPr>
        <w:pStyle w:val="Heading2"/>
        <w:spacing w:after="140" w:before="280"/>
      </w:pPr>
      <w:r>
        <w:rPr>
          <w:rFonts w:ascii="Times New Roman" w:cs="Times New Roman" w:eastAsia="Times New Roman" w:hAnsi="Times New Roman"/>
          <w:b/>
          <w:bCs/>
          <w:i w:val="false"/>
          <w:iCs w:val="false"/>
          <w:sz w:val="26"/>
          <w:szCs w:val="26"/>
        </w:rPr>
        <w:t xml:space="preserve">5.2 El argumento de la soberanía nacional</w:t>
      </w:r>
    </w:p>
    <w:p>
      <w:pPr>
        <w:spacing w:after="160" w:before="0"/>
        <w:ind w:firstLine="720"/>
        <w:jc w:val="both"/>
      </w:pPr>
      <w:r>
        <w:rPr>
          <w:rFonts w:ascii="Times New Roman" w:cs="Times New Roman" w:eastAsia="Times New Roman" w:hAnsi="Times New Roman"/>
          <w:sz w:val="24"/>
          <w:szCs w:val="24"/>
        </w:rPr>
        <w:t xml:space="preserve">El segundo argumento más frecuente es el del apego a la soberanía nacional como valor en sí mismo. Sin embargo, es necesario distinguir entre soberanía formal y soberanía real. Los tres países son formalmente soberanos, pero su capacidad de determinar sus propias políticas comerciales, financieras y ambientales está fuertemente condicionada por las instituciones financieras internacionales, las corporaciones transnacionales y los marcos de los tratados de inversión. Como ha documentado extensamente la literatura de la dependencia renovada (Svampa, 2019; Sader, 2009), la soberanía formal sin soberanía económica real es una ficción costosa. La integración ampliaría la soberanía real de los pueblos andinos al aumentar su capacidad de negociación colectiva.</w:t>
      </w:r>
    </w:p>
    <w:p>
      <w:pPr>
        <w:pStyle w:val="Heading1"/>
        <w:spacing w:after="180" w:before="360"/>
      </w:pPr>
      <w:r>
        <w:rPr>
          <w:rFonts w:ascii="Times New Roman" w:cs="Times New Roman" w:eastAsia="Times New Roman" w:hAnsi="Times New Roman"/>
          <w:b/>
          <w:bCs/>
          <w:sz w:val="28"/>
          <w:szCs w:val="28"/>
        </w:rPr>
        <w:t xml:space="preserve">6. CONCLUSIONES</w:t>
      </w:r>
    </w:p>
    <w:p>
      <w:pPr>
        <w:spacing w:after="160" w:before="0"/>
        <w:ind w:firstLine="720"/>
        <w:jc w:val="both"/>
      </w:pPr>
      <w:r>
        <w:rPr>
          <w:rFonts w:ascii="Times New Roman" w:cs="Times New Roman" w:eastAsia="Times New Roman" w:hAnsi="Times New Roman"/>
          <w:sz w:val="24"/>
          <w:szCs w:val="24"/>
        </w:rPr>
        <w:t xml:space="preserve">La 'Solución Andina' no es una utopía: es una hipótesis de eficiencia sistémica con fundamento empírico, histórico y estructural. Los tres países que la componen comparten territorio ecológico, lenguas, cosmovisión, historia y recursos. Lo que los separa es una arquitectura política construida sobre la base del control de élites locales y los intereses de potencias externas que se benefician de la fragmentación. El costo de mantener esa arquitectura —en términos de gasto militar, fricción logística, dependencia extractiva y representación política distorsionada— supera con creces el costo de la transición hacia un modelo confederal-plurinacional.</w:t>
      </w:r>
    </w:p>
    <w:p>
      <w:pPr>
        <w:spacing w:after="160" w:before="0"/>
        <w:ind w:firstLine="720"/>
        <w:jc w:val="both"/>
      </w:pPr>
      <w:r>
        <w:rPr>
          <w:rFonts w:ascii="Times New Roman" w:cs="Times New Roman" w:eastAsia="Times New Roman" w:hAnsi="Times New Roman"/>
          <w:sz w:val="24"/>
          <w:szCs w:val="24"/>
        </w:rPr>
        <w:t xml:space="preserve">La denominación 'Naciones Unidas del Quinto Sol' aporta a este proyecto pragmático la dimensión que le falta a toda propuesta meramente tecnocrática: la legitimidad civilizatoria. Al anclar la integración en la continuidad histórica milenaria de los pueblos andinos, transforma la pregunta de '¿cómo nos unimos?' en '¿por qué nos separamos?', invirtiendo la carga de la prueba. La separación es el estado que requiere justificación; la unidad es el estado natural que fue interrumpido.</w:t>
      </w:r>
    </w:p>
    <w:p>
      <w:pPr>
        <w:spacing w:after="160" w:before="0"/>
        <w:ind w:firstLine="720"/>
        <w:jc w:val="both"/>
      </w:pPr>
      <w:r>
        <w:rPr>
          <w:rFonts w:ascii="Times New Roman" w:cs="Times New Roman" w:eastAsia="Times New Roman" w:hAnsi="Times New Roman"/>
          <w:sz w:val="24"/>
          <w:szCs w:val="24"/>
        </w:rPr>
        <w:t xml:space="preserve">El camino más probable hacia esta integración no pasa por acuerdos entre jefes de Estado, sino por la erosión de las fronteras desde abajo: a través del comercio informal transfronterizo, de las redes de solidaridad indígena, de la presión de las empresas extractivas que prefieren un único marco jurídico eficiente, y de la comprensión creciente de las mayorías andinas de que su pobreza no es un destino geográfico, sino el resultado de una decisión política que puede revertirse.</w:t>
      </w:r>
    </w:p>
    <w:p>
      <w:pPr>
        <w:pBdr>
          <w:bottom w:val="single" w:color="888888" w:sz="4" w:space="1"/>
        </w:pBdr>
        <w:spacing w:after="240" w:before="240"/>
      </w:pPr>
    </w:p>
    <w:p>
      <w:pPr>
        <w:pStyle w:val="Heading1"/>
        <w:spacing w:after="180" w:before="360"/>
      </w:pPr>
      <w:r>
        <w:rPr>
          <w:rFonts w:ascii="Times New Roman" w:cs="Times New Roman" w:eastAsia="Times New Roman" w:hAnsi="Times New Roman"/>
          <w:b/>
          <w:bCs/>
          <w:sz w:val="28"/>
          <w:szCs w:val="28"/>
        </w:rPr>
        <w:t xml:space="preserve">REFERENCIAS BIBLIOGRÁFICAS</w:t>
      </w:r>
    </w:p>
    <w:p>
      <w:pPr>
        <w:spacing w:after="120" w:before="0"/>
        <w:ind w:left="36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Acemoglu, D. &amp; Robinson, J. A. (2012). Why Nations Fail: The Origins of Power, Prosperity, and Poverty. Crown Business, Nueva York.</w:t>
      </w:r>
    </w:p>
    <w:p>
      <w:pPr>
        <w:spacing w:after="120" w:before="0"/>
        <w:ind w:left="36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Acosta, A. (2013). El Buen Vivir: Sumak Kawsay, una oportunidad para imaginar otros mundos. Icaria Editorial, Barcelona.</w:t>
      </w:r>
    </w:p>
    <w:p>
      <w:pPr>
        <w:spacing w:after="120" w:before="0"/>
        <w:ind w:left="36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Banco Interamericano de Desarrollo —BID— (2020). Logística para la productividad: costos y competitividad en América Latina y el Caribe. BID, Washington D.C.</w:t>
      </w:r>
    </w:p>
    <w:p>
      <w:pPr>
        <w:spacing w:after="120" w:before="0"/>
        <w:ind w:left="36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Bonilla, H. (Ed.) (1987). Los Andes en la encrucijada: indios, comunidades y Estado en el siglo XIX. FLACSO-Ecuador / Libri Mundi, Quito.</w:t>
      </w:r>
    </w:p>
    <w:p>
      <w:pPr>
        <w:spacing w:after="120" w:before="0"/>
        <w:ind w:left="36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Brauer, J. &amp; Dunne, J. P. (2012). Peace Economies. En: The Oxford Handbook of the Economics of Peace and Conflict. Oxford University Press, Oxford.</w:t>
      </w:r>
    </w:p>
    <w:p>
      <w:pPr>
        <w:spacing w:after="120" w:before="0"/>
        <w:ind w:left="36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Cerrón-Palomino, R. (2003). Lingüística quechua (2.ª ed.). Centro Bartolomé de las Casas, Cusco.</w:t>
      </w:r>
    </w:p>
    <w:p>
      <w:pPr>
        <w:spacing w:after="120" w:before="0"/>
        <w:ind w:left="36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Comunidad Andina —CAN— (2023). Informe Estadístico de Comercio Exterior. Secretaría General de la CAN, Lima.</w:t>
      </w:r>
    </w:p>
    <w:p>
      <w:pPr>
        <w:spacing w:after="120" w:before="0"/>
        <w:ind w:left="360" w:hanging="36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Fondo Monetario Internacional —FMI— (2023). World Economic Outlook Database (October 2023). FMI, Washington D.C. Recuperado de https://www.imf.org/en/Publications/WEO</w:t>
      </w:r>
    </w:p>
    <w:p>
      <w:pPr>
        <w:spacing w:after="120" w:before="0"/>
        <w:ind w:left="360" w:hanging="36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García Linera, Á. (2008). La potencia plebeya: acción colectiva e identidades indígenas, obreras y populares en Bolivia. CLACSO / Prometeo, Buenos Aires.</w:t>
      </w:r>
    </w:p>
    <w:p>
      <w:pPr>
        <w:spacing w:after="120" w:before="0"/>
        <w:ind w:left="360" w:hanging="360"/>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Gudynas, E. (2015). Extractivismos: ecología, economía y política de un modo de entender el desarrollo y la Naturaleza. CEDIB / CLAES, Cochabamba.</w:t>
      </w:r>
    </w:p>
    <w:p>
      <w:pPr>
        <w:spacing w:after="120" w:before="0"/>
        <w:ind w:left="360" w:hanging="360"/>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International Energy Agency —IEA— (2023). Critical Minerals Market Review 2023. IEA, París. Recuperado de https://www.iea.org</w:t>
      </w:r>
    </w:p>
    <w:p>
      <w:pPr>
        <w:spacing w:after="120" w:before="0"/>
        <w:ind w:left="360" w:hanging="360"/>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Larson, B. (2004). Trials of Nation Making: Liberalism, Race, and Ethnicity in the Andes, 1810–1910. Cambridge University Press, Cambridge.</w:t>
      </w:r>
    </w:p>
    <w:p>
      <w:pPr>
        <w:spacing w:after="120" w:before="0"/>
        <w:ind w:left="360" w:hanging="360"/>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Murra, J. V. (1972). El control vertical de un máximo de pisos ecológicos en la economía de las sociedades andinas. En: Visita de la Provincia de León de Huánuco en 1562 (Vol. 2, pp. 427–476). Universidad Nacional Hermilio Valdizán, Huánuco.</w:t>
      </w:r>
    </w:p>
    <w:p>
      <w:pPr>
        <w:spacing w:after="120" w:before="0"/>
        <w:ind w:left="360" w:hanging="360"/>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Oates, W. E. (1999). An Essay on Fiscal Federalism. Journal of Economic Literature, 37(3), 1120–1149.</w:t>
      </w:r>
    </w:p>
    <w:p>
      <w:pPr>
        <w:spacing w:after="120" w:before="0"/>
        <w:ind w:left="360" w:hanging="360"/>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Quijano, A. (2000). Colonialidad del poder, eurocentrismo y América Latina. En: E. Lander (Comp.), La colonialidad del saber: eurocentrismo y ciencias sociales (pp. 201–246). CLACSO, Buenos Aires.</w:t>
      </w:r>
    </w:p>
    <w:p>
      <w:pPr>
        <w:spacing w:after="120" w:before="0"/>
        <w:ind w:left="360" w:hanging="360"/>
        <w:jc w:val="both"/>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Rodden, J. (2006). Hamilton's Paradox: The Promise and Peril of Fiscal Federalism. Cambridge University Press, Cambridge.</w:t>
      </w:r>
    </w:p>
    <w:p>
      <w:pPr>
        <w:spacing w:after="120" w:before="0"/>
        <w:ind w:left="360" w:hanging="360"/>
        <w:jc w:val="both"/>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Sader, E. (2009). El nuevo topo: los caminos de la izquierda latinoamericana. Siglo XXI, Buenos Aires.</w:t>
      </w:r>
    </w:p>
    <w:p>
      <w:pPr>
        <w:spacing w:after="120" w:before="0"/>
        <w:ind w:left="360" w:hanging="360"/>
        <w:jc w:val="both"/>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rPr>
        <w:t xml:space="preserve">Stockholm International Peace Research Institute —SIPRI— (2024). SIPRI Military Expenditure Database 2024. SIPRI, Estocolmo. Recuperado de https://www.sipri.org/databases/milex</w:t>
      </w:r>
    </w:p>
    <w:p>
      <w:pPr>
        <w:spacing w:after="120" w:before="0"/>
        <w:ind w:left="360" w:hanging="360"/>
        <w:jc w:val="both"/>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sz w:val="24"/>
          <w:szCs w:val="24"/>
        </w:rPr>
        <w:t xml:space="preserve">Svampa, M. (2019). Las fronteras del neoextractivismo en América Latina. CALAS / Universidad de Guadalajara, Guadalajara.</w:t>
      </w:r>
    </w:p>
    <w:p>
      <w:pPr>
        <w:spacing w:after="120" w:before="0"/>
        <w:ind w:left="360" w:hanging="360"/>
        <w:jc w:val="both"/>
      </w:pPr>
      <w:r>
        <w:rPr>
          <w:rFonts w:ascii="Times New Roman" w:cs="Times New Roman" w:eastAsia="Times New Roman" w:hAnsi="Times New Roman"/>
          <w:b/>
          <w:bCs/>
          <w:sz w:val="24"/>
          <w:szCs w:val="24"/>
        </w:rPr>
        <w:t xml:space="preserve">20. </w:t>
      </w:r>
      <w:r>
        <w:rPr>
          <w:rFonts w:ascii="Times New Roman" w:cs="Times New Roman" w:eastAsia="Times New Roman" w:hAnsi="Times New Roman"/>
          <w:sz w:val="24"/>
          <w:szCs w:val="24"/>
        </w:rPr>
        <w:t xml:space="preserve">United States Geological Survey —USGS— (2024). Mineral Commodity Summaries 2024: Lithium. USGS, Reston, Virginia. Recuperado de https://pubs.usgs.gov/periodicals/mcs2024</w:t>
      </w:r>
    </w:p>
    <w:p>
      <w:pPr>
        <w:spacing w:after="120" w:before="0"/>
        <w:ind w:left="360" w:hanging="360"/>
        <w:jc w:val="both"/>
      </w:pPr>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rPr>
        <w:t xml:space="preserve">Yashar, D. J. (2005). Contesting Citizenship in Latin America: The Rise of Indigenous Movements and the Postliberal Challenge. Cambridge University Press, Cambridge.</w:t>
      </w:r>
    </w:p>
    <w:p>
      <w:pPr>
        <w:spacing w:after="120" w:before="0"/>
        <w:ind w:left="360" w:hanging="360"/>
        <w:jc w:val="both"/>
      </w:pPr>
      <w:r>
        <w:rPr>
          <w:rFonts w:ascii="Times New Roman" w:cs="Times New Roman" w:eastAsia="Times New Roman" w:hAnsi="Times New Roman"/>
          <w:b/>
          <w:bCs/>
          <w:sz w:val="24"/>
          <w:szCs w:val="24"/>
        </w:rPr>
        <w:t xml:space="preserve">22. </w:t>
      </w:r>
      <w:r>
        <w:rPr>
          <w:rFonts w:ascii="Times New Roman" w:cs="Times New Roman" w:eastAsia="Times New Roman" w:hAnsi="Times New Roman"/>
          <w:sz w:val="24"/>
          <w:szCs w:val="24"/>
        </w:rPr>
        <w:t xml:space="preserve">República del Ecuador. (2008). Constitución de la República del Ecuador. Asamblea Nacional Constituyente, Montecristi.</w:t>
      </w:r>
    </w:p>
    <w:p>
      <w:pPr>
        <w:spacing w:after="120" w:before="0"/>
        <w:ind w:left="360" w:hanging="360"/>
        <w:jc w:val="both"/>
      </w:pPr>
      <w:r>
        <w:rPr>
          <w:rFonts w:ascii="Times New Roman" w:cs="Times New Roman" w:eastAsia="Times New Roman" w:hAnsi="Times New Roman"/>
          <w:b/>
          <w:bCs/>
          <w:sz w:val="24"/>
          <w:szCs w:val="24"/>
        </w:rPr>
        <w:t xml:space="preserve">23. </w:t>
      </w:r>
      <w:r>
        <w:rPr>
          <w:rFonts w:ascii="Times New Roman" w:cs="Times New Roman" w:eastAsia="Times New Roman" w:hAnsi="Times New Roman"/>
          <w:sz w:val="24"/>
          <w:szCs w:val="24"/>
        </w:rPr>
        <w:t xml:space="preserve">Estado Plurinacional de Bolivia. (2009). Constitución Política del Estado Plurinacional de Bolivia. Asamblea Constituyente, Oruro.</w:t>
      </w:r>
    </w:p>
    <w:p>
      <w:pPr>
        <w:pBdr>
          <w:bottom w:val="single" w:color="888888" w:sz="4" w:space="1"/>
        </w:pBdr>
        <w:spacing w:after="240" w:before="240"/>
      </w:pPr>
    </w:p>
    <w:p>
      <w:pPr>
        <w:spacing w:after="0" w:before="240"/>
        <w:jc w:val="center"/>
      </w:pPr>
      <w:r>
        <w:rPr>
          <w:rFonts w:ascii="Times New Roman" w:cs="Times New Roman" w:eastAsia="Times New Roman" w:hAnsi="Times New Roman"/>
          <w:i/>
          <w:iCs/>
          <w:color w:val="555555"/>
          <w:sz w:val="20"/>
          <w:szCs w:val="20"/>
        </w:rPr>
        <w:t xml:space="preserve">Herrero, H.D. (2026). Naciones Unidas del Quinto Sol: La Solución Andina como imperativo logístico, geopolítico y civilizatorio.</w:t>
      </w:r>
    </w:p>
    <w:p>
      <w:pPr>
        <w:spacing w:after="0" w:before="60"/>
        <w:jc w:val="center"/>
      </w:pPr>
      <w:r>
        <w:rPr>
          <w:rFonts w:ascii="Times New Roman" w:cs="Times New Roman" w:eastAsia="Times New Roman" w:hAnsi="Times New Roman"/>
          <w:color w:val="555555"/>
          <w:sz w:val="20"/>
          <w:szCs w:val="20"/>
        </w:rPr>
        <w:t xml:space="preserve">Fundación Hijos del Sol y la Basura. Córdoba, Argentina. CC BY-SA 4.0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t xml:space="preserve">Herrero, H.D. (2026) | Naciones Unidas del Quinto Sol | CC BY-SA 4.0  —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A1A2E"/>
      <w:sz w:val="28"/>
      <w:szCs w:val="28"/>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2C3E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2026-06-04T05:44:49.882Z</dcterms:created>
  <dcterms:modified xsi:type="dcterms:W3CDTF">2026-06-04T05:44:49.882Z</dcterms:modified>
</cp:coreProperties>
</file>

<file path=docProps/custom.xml><?xml version="1.0" encoding="utf-8"?>
<Properties xmlns="http://schemas.openxmlformats.org/officeDocument/2006/custom-properties" xmlns:vt="http://schemas.openxmlformats.org/officeDocument/2006/docPropsVTypes"/>
</file>