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22"/>
          <w:szCs w:val="22"/>
        </w:rPr>
        <w:t xml:space="preserve"/>
      </w:r>
    </w:p>
    <w:p>
      <w:pPr>
        <w:spacing w:after="80" w:before="0"/>
        <w:jc w:val="center"/>
      </w:pPr>
      <w:r>
        <w:rPr>
          <w:rFonts w:ascii="Arial" w:cs="Arial" w:eastAsia="Arial" w:hAnsi="Arial"/>
          <w:i/>
          <w:iCs/>
          <w:color w:val="888888"/>
          <w:sz w:val="22"/>
          <w:szCs w:val="22"/>
        </w:rPr>
        <w:t xml:space="preserve">CONCEPTUAL PRE-PRINT</w:t>
      </w:r>
    </w:p>
    <w:p>
      <w:pPr>
        <w:spacing w:after="300" w:before="0"/>
        <w:jc w:val="center"/>
      </w:pPr>
      <w:r>
        <w:rPr>
          <w:rFonts w:ascii="Arial" w:cs="Arial" w:eastAsia="Arial" w:hAnsi="Arial"/>
          <w:b/>
          <w:bCs/>
          <w:color w:val="2E4A7A"/>
          <w:sz w:val="24"/>
          <w:szCs w:val="24"/>
        </w:rPr>
        <w:t xml:space="preserve">Hijos del Sol y la Basura Foundation</w:t>
      </w:r>
    </w:p>
    <w:p>
      <w:pPr>
        <w:spacing w:after="100" w:before="0"/>
        <w:jc w:val="center"/>
      </w:pPr>
      <w:r>
        <w:rPr>
          <w:rFonts w:ascii="Arial" w:cs="Arial" w:eastAsia="Arial" w:hAnsi="Arial"/>
          <w:b/>
          <w:bCs/>
          <w:color w:val="1A3A5C"/>
          <w:sz w:val="48"/>
          <w:szCs w:val="48"/>
        </w:rPr>
        <w:t xml:space="preserve">Cold Fusion Engine</w:t>
      </w:r>
    </w:p>
    <w:p>
      <w:pPr>
        <w:spacing w:after="200" w:before="0"/>
        <w:jc w:val="center"/>
      </w:pPr>
      <w:r>
        <w:rPr>
          <w:rFonts w:ascii="Arial" w:cs="Arial" w:eastAsia="Arial" w:hAnsi="Arial"/>
          <w:b/>
          <w:bCs/>
          <w:color w:val="2E4A7A"/>
          <w:sz w:val="36"/>
          <w:szCs w:val="36"/>
        </w:rPr>
        <w:t xml:space="preserve">from Radioactive Waste</w:t>
      </w:r>
    </w:p>
    <w:p>
      <w:pPr>
        <w:spacing w:after="60" w:before="0"/>
        <w:jc w:val="center"/>
      </w:pPr>
      <w:r>
        <w:rPr>
          <w:rFonts w:ascii="Arial" w:cs="Arial" w:eastAsia="Arial" w:hAnsi="Arial"/>
          <w:i/>
          <w:iCs/>
          <w:color w:val="3A5A8A"/>
          <w:sz w:val="24"/>
          <w:szCs w:val="24"/>
        </w:rPr>
        <w:t xml:space="preserve">An Integrated Three-Stage System for Passive Transmutation,</w:t>
      </w:r>
    </w:p>
    <w:p>
      <w:pPr>
        <w:spacing w:after="400" w:before="0"/>
        <w:jc w:val="center"/>
      </w:pPr>
      <w:r>
        <w:rPr>
          <w:rFonts w:ascii="Arial" w:cs="Arial" w:eastAsia="Arial" w:hAnsi="Arial"/>
          <w:i/>
          <w:iCs/>
          <w:color w:val="3A5A8A"/>
          <w:sz w:val="24"/>
          <w:szCs w:val="24"/>
        </w:rPr>
        <w:t xml:space="preserve">D-T Fuel Production and Fusion Confinement in a Tungsten Duct</w:t>
      </w:r>
    </w:p>
    <w:p>
      <w:pPr>
        <w:spacing w:after="60" w:before="0"/>
        <w:jc w:val="center"/>
      </w:pPr>
      <w:r>
        <w:rPr>
          <w:rFonts w:ascii="Arial" w:cs="Arial" w:eastAsia="Arial" w:hAnsi="Arial"/>
          <w:b/>
          <w:bCs/>
          <w:color w:val="1A3A5C"/>
          <w:sz w:val="24"/>
          <w:szCs w:val="24"/>
        </w:rPr>
        <w:t xml:space="preserve">Diego Hernan Herrero</w:t>
      </w:r>
    </w:p>
    <w:p>
      <w:pPr>
        <w:spacing w:after="60" w:before="0"/>
        <w:jc w:val="center"/>
      </w:pPr>
      <w:r>
        <w:rPr>
          <w:rFonts w:ascii="Arial" w:cs="Arial" w:eastAsia="Arial" w:hAnsi="Arial"/>
          <w:color w:val="888888"/>
          <w:sz w:val="20"/>
          <w:szCs w:val="20"/>
        </w:rPr>
        <w:t xml:space="preserve">Hijos del Sol y la Basura Foundation  |  Cordoba, Argentina  |  May 2026</w:t>
      </w:r>
    </w:p>
    <w:p>
      <w:pPr>
        <w:spacing w:after="60" w:before="0"/>
        <w:jc w:val="center"/>
      </w:pPr>
      <w:r>
        <w:rPr>
          <w:rFonts w:ascii="Arial" w:cs="Arial" w:eastAsia="Arial" w:hAnsi="Arial"/>
          <w:color w:val="888888"/>
          <w:sz w:val="20"/>
          <w:szCs w:val="20"/>
        </w:rPr>
        <w:t xml:space="preserve">Contact: +54 351 863-0069  |  https://hdbasura25-oss.github.io/Hijosdelabasura/</w:t>
      </w:r>
    </w:p>
    <w:p>
      <w:pPr>
        <w:spacing w:after="60" w:before="0"/>
        <w:jc w:val="center"/>
      </w:pPr>
      <w:r>
        <w:rPr>
          <w:rFonts w:ascii="Arial" w:cs="Arial" w:eastAsia="Arial" w:hAnsi="Arial"/>
          <w:i/>
          <w:iCs/>
          <w:color w:val="888888"/>
          <w:sz w:val="20"/>
          <w:szCs w:val="20"/>
        </w:rPr>
        <w:t xml:space="preserve">License: CC BY-SA 4.0  |  All knowledge is free</w:t>
      </w:r>
    </w:p>
    <w:p>
      <w:pPr>
        <w:spacing w:after="0" w:before="0"/>
        <w:jc w:val="center"/>
      </w:pPr>
      <w:r>
        <w:rPr>
          <w:rFonts w:ascii="Arial" w:cs="Arial" w:eastAsia="Arial" w:hAnsi="Arial"/>
          <w:i/>
          <w:iCs/>
          <w:color w:val="888888"/>
          <w:sz w:val="20"/>
          <w:szCs w:val="20"/>
        </w:rPr>
        <w:t xml:space="preserve">Simulations: OpenMC 0.15.3 | ENDF/B-VIII.1</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Abstract</w:t>
      </w:r>
    </w:p>
    <w:p>
      <w:pPr>
        <w:spacing w:after="100" w:before="100"/>
        <w:jc w:val="both"/>
      </w:pPr>
      <w:r>
        <w:rPr>
          <w:rFonts w:ascii="Arial" w:cs="Arial" w:eastAsia="Arial" w:hAnsi="Arial"/>
          <w:sz w:val="22"/>
          <w:szCs w:val="22"/>
        </w:rPr>
        <w:t xml:space="preserve">We present a Cold Fusion Engine from Radioactive Waste: an integrated three-stage system that converts existing nuclear liabilities into active fusion fuel without fission chain reactions or high-temperature plasma confinement.</w:t>
      </w:r>
    </w:p>
    <w:p>
      <w:pPr>
        <w:spacing w:after="100" w:before="100"/>
        <w:jc w:val="both"/>
      </w:pPr>
      <w:r>
        <w:rPr>
          <w:rFonts w:ascii="Arial" w:cs="Arial" w:eastAsia="Arial" w:hAnsi="Arial"/>
          <w:sz w:val="22"/>
          <w:szCs w:val="22"/>
        </w:rPr>
        <w:t xml:space="preserve">The term cold fusion is used in this work in a precise technical sense entirely distinct from the historical Pons-Fleischmann usage (1989). Unlike conventional thermonuclear fusion, which requires plasma confinement at temperatures exceeding 100 million degrees, the present system operates in a regime of unsustained subcritical fusion, where D-T fusion reactions are induced by external neutrons without reaching a self-sustaining ignition chain. By direct analogy with the established nuclear engineering distinction between critical and subcritical fission, we define cold fusion as subcritical fusion: real and measurable fusion reactions occur, but no self-sustaining chain propagates. The temperature of individual reactions is thermonuclear; what is cold is the chain.</w:t>
      </w:r>
    </w:p>
    <w:p>
      <w:pPr>
        <w:spacing w:after="100" w:before="100"/>
        <w:jc w:val="both"/>
      </w:pPr>
      <w:r>
        <w:rPr>
          <w:rFonts w:ascii="Arial" w:cs="Arial" w:eastAsia="Arial" w:hAnsi="Arial"/>
          <w:sz w:val="22"/>
          <w:szCs w:val="22"/>
        </w:rPr>
        <w:t xml:space="preserve">The Cold Fusion Engine concept is conceptually related to the Magneto-Inertial Fusion (MIF) [1] and Magnetized Target Fusion (MTF) [2] research families, which explore the intermediate space between magnetic and inertial confinement. The specific contribution of the present work is twofold: confinement is achieved by mechanical geometry through a high-density tungsten duct rather than external magnetic fields, and the primary neutron source is existing radioactive waste rather than dedicated sources, converting an environmental liability into an active resource.</w:t>
      </w:r>
    </w:p>
    <w:p>
      <w:pPr>
        <w:spacing w:after="100" w:before="100"/>
        <w:jc w:val="both"/>
      </w:pPr>
      <w:r>
        <w:rPr>
          <w:rFonts w:ascii="Arial" w:cs="Arial" w:eastAsia="Arial" w:hAnsi="Arial"/>
          <w:sz w:val="22"/>
          <w:szCs w:val="22"/>
        </w:rPr>
        <w:t xml:space="preserve">Monte Carlo simulations with OpenMC 0.15.3 and ENDF/B-VIII.1 nuclear data libraries demonstrated that the bottle geometry with uranium toroid and tungsten bundt-pan reflector achieves a Tritium Breeding Ratio (TBR) of 0.8412 with a neutron leakage fraction of 0.37%, and that the tungsten duct amplifies neutron reactions in the D-T channel by a factor of 2.52 compared to an unconfined channel. The system is inherently subcritical (k-effective = 0.198), passively safe, and requires no fission chain reaction.</w:t>
      </w:r>
    </w:p>
    <w:p>
      <w:pPr>
        <w:pBdr>
          <w:top w:val="single" w:color="AAAAAA" w:sz="2" w:space="6"/>
          <w:bottom w:val="single" w:color="AAAAAA" w:sz="2" w:space="6"/>
        </w:pBdr>
        <w:spacing w:after="180" w:before="180"/>
        <w:jc w:val="center"/>
      </w:pPr>
      <w:r>
        <w:rPr>
          <w:rFonts w:ascii="Arial" w:cs="Arial" w:eastAsia="Arial" w:hAnsi="Arial"/>
          <w:b/>
          <w:bCs/>
          <w:color w:val="1A3A5C"/>
          <w:sz w:val="23"/>
          <w:szCs w:val="23"/>
        </w:rPr>
        <w:t xml:space="preserve">Cold fusion: real thermonuclear reactions without a self-sustaining chain. Waste as resource, not as problem.</w:t>
      </w:r>
    </w:p>
    <w:p>
      <w:pPr>
        <w:spacing w:after="80" w:before="80"/>
        <w:jc w:val="both"/>
      </w:pPr>
      <w:r>
        <w:rPr>
          <w:rFonts w:ascii="Arial" w:cs="Arial" w:eastAsia="Arial" w:hAnsi="Arial"/>
          <w:i/>
          <w:iCs/>
          <w:color w:val="666666"/>
          <w:sz w:val="20"/>
          <w:szCs w:val="20"/>
        </w:rPr>
        <w:t xml:space="preserve">Conceptual pre-print submitted for review by specialized organizations. Individual mechanisms are established nuclear physics. The specific proposed combination requires validation through experimental work and coupled hydrodynamic simulation.</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1. Introduction and Motivation</w:t>
      </w:r>
    </w:p>
    <w:p>
      <w:pPr>
        <w:pStyle w:val="Heading2"/>
        <w:spacing w:after="150" w:before="300"/>
      </w:pPr>
      <w:r>
        <w:rPr>
          <w:rFonts w:ascii="Arial" w:cs="Arial" w:eastAsia="Arial" w:hAnsi="Arial"/>
          <w:b/>
          <w:bCs/>
          <w:color w:val="2E4A7A"/>
          <w:sz w:val="26"/>
          <w:szCs w:val="26"/>
        </w:rPr>
        <w:t xml:space="preserve">1.1 The nuclear waste problem</w:t>
      </w:r>
    </w:p>
    <w:p>
      <w:pPr>
        <w:spacing w:after="100" w:before="100"/>
        <w:jc w:val="both"/>
      </w:pPr>
      <w:r>
        <w:rPr>
          <w:rFonts w:ascii="Arial" w:cs="Arial" w:eastAsia="Arial" w:hAnsi="Arial"/>
          <w:sz w:val="22"/>
          <w:szCs w:val="22"/>
        </w:rPr>
        <w:t xml:space="preserve">High-level radioactive waste stored in water pools worldwide represents one of the greatest technological and political challenges of contemporary civilization. These materials continuously emit neutrons as part of their radioactive decay. Currently, those neutrons are entirely wasted, merely heating the pool water with no useful output.</w:t>
      </w:r>
    </w:p>
    <w:p>
      <w:pPr>
        <w:spacing w:after="100" w:before="100"/>
        <w:jc w:val="both"/>
      </w:pPr>
      <w:r>
        <w:rPr>
          <w:rFonts w:ascii="Arial" w:cs="Arial" w:eastAsia="Arial" w:hAnsi="Arial"/>
          <w:sz w:val="22"/>
          <w:szCs w:val="22"/>
        </w:rPr>
        <w:t xml:space="preserve">The central question motivating this work is simple: what if, instead of wasting those neutrons, we directed them toward lithium, which converts them into tritium, helium, and energy?</w:t>
      </w:r>
    </w:p>
    <w:p>
      <w:pPr>
        <w:pStyle w:val="Heading2"/>
        <w:spacing w:after="150" w:before="300"/>
      </w:pPr>
      <w:r>
        <w:rPr>
          <w:rFonts w:ascii="Arial" w:cs="Arial" w:eastAsia="Arial" w:hAnsi="Arial"/>
          <w:b/>
          <w:bCs/>
          <w:color w:val="2E4A7A"/>
          <w:sz w:val="26"/>
          <w:szCs w:val="26"/>
        </w:rPr>
        <w:t xml:space="preserve">1.2 The directed geometry paradigm</w:t>
      </w:r>
    </w:p>
    <w:p>
      <w:pPr>
        <w:spacing w:after="100" w:before="100"/>
        <w:jc w:val="both"/>
      </w:pPr>
      <w:r>
        <w:rPr>
          <w:rFonts w:ascii="Arial" w:cs="Arial" w:eastAsia="Arial" w:hAnsi="Arial"/>
          <w:sz w:val="22"/>
          <w:szCs w:val="22"/>
        </w:rPr>
        <w:t xml:space="preserve">This work is based on a central principle: geometry can do the work that is currently attempted through brute-force neutronics. Rather than asking how many neutrons are needed to produce tritium, the correct question is how to design the geometry so that each available neutron produces tritium almost inevitably.</w:t>
      </w:r>
    </w:p>
    <w:p>
      <w:pPr>
        <w:spacing w:after="100" w:before="100"/>
        <w:jc w:val="both"/>
      </w:pPr>
      <w:r>
        <w:rPr>
          <w:rFonts w:ascii="Arial" w:cs="Arial" w:eastAsia="Arial" w:hAnsi="Arial"/>
          <w:sz w:val="22"/>
          <w:szCs w:val="22"/>
        </w:rPr>
        <w:t xml:space="preserve">This inversion of paradigm - from power to geometry, from probability to geometric determinism - conceptually distinguishes this system from existing lithium blankets and conventional ADS systems. The bottle geometry with tungsten bundt-pan reflector proposed in this work reduces neutron leakage to 0.37%, utilizing 99.63% of generated neutrons.</w:t>
      </w:r>
    </w:p>
    <w:p>
      <w:pPr>
        <w:pStyle w:val="Heading2"/>
        <w:spacing w:after="150" w:before="300"/>
      </w:pPr>
      <w:r>
        <w:rPr>
          <w:rFonts w:ascii="Arial" w:cs="Arial" w:eastAsia="Arial" w:hAnsi="Arial"/>
          <w:b/>
          <w:bCs/>
          <w:color w:val="2E4A7A"/>
          <w:sz w:val="26"/>
          <w:szCs w:val="26"/>
        </w:rPr>
        <w:t xml:space="preserve">1.3 Connection to Magneto-Inertial Fusion research</w:t>
      </w:r>
    </w:p>
    <w:p>
      <w:pPr>
        <w:spacing w:after="100" w:before="100"/>
        <w:jc w:val="both"/>
      </w:pPr>
      <w:r>
        <w:rPr>
          <w:rFonts w:ascii="Arial" w:cs="Arial" w:eastAsia="Arial" w:hAnsi="Arial"/>
          <w:sz w:val="22"/>
          <w:szCs w:val="22"/>
        </w:rPr>
        <w:t xml:space="preserve">The Cold Fusion Engine concept belongs conceptually to the Magneto-Inertial Fusion (MIF) [1] and Magnetized Target Fusion (MTF) [2] research family, defined as the intermediate space between magnetic and inertial confinement. These research lines explore rapid compression, high density, short confinement, and localized ignition - characteristics shared with the present concept.</w:t>
      </w:r>
    </w:p>
    <w:p>
      <w:pPr>
        <w:spacing w:after="100" w:before="100"/>
        <w:jc w:val="both"/>
      </w:pPr>
      <w:r>
        <w:rPr>
          <w:rFonts w:ascii="Arial" w:cs="Arial" w:eastAsia="Arial" w:hAnsi="Arial"/>
          <w:sz w:val="22"/>
          <w:szCs w:val="22"/>
        </w:rPr>
        <w:t xml:space="preserve">The specific difference and original contribution of the present work is twofold. First, confinement is achieved by mechanical geometry through a high-density tungsten duct rather than external magnetic field implosion. Second, the primary neutron source is existing radioactive waste rather than dedicated sources, eliminating the need for additional infrastructure and converting an environmental liability into an active resource.</w:t>
      </w:r>
    </w:p>
    <w:p>
      <w:pPr>
        <w:spacing w:after="100" w:before="100"/>
        <w:jc w:val="both"/>
      </w:pPr>
      <w:r>
        <w:rPr>
          <w:rFonts w:ascii="Arial" w:cs="Arial" w:eastAsia="Arial" w:hAnsi="Arial"/>
          <w:sz w:val="22"/>
          <w:szCs w:val="22"/>
        </w:rPr>
        <w:t xml:space="preserve">The Lawson criterion [3] for fusion ignition establishes that the triple product of density, temperature, and confinement time (nTt) must exceed a minimum value. The Cold Fusion Engine deliberately operates below the threshold of sustained ignition, which is why it is termed cold fusion in the sense of unsustained subcritical fusion.</w:t>
      </w:r>
    </w:p>
    <w:p>
      <w:pPr>
        <w:pStyle w:val="Heading2"/>
        <w:spacing w:after="150" w:before="300"/>
      </w:pPr>
      <w:r>
        <w:rPr>
          <w:rFonts w:ascii="Arial" w:cs="Arial" w:eastAsia="Arial" w:hAnsi="Arial"/>
          <w:b/>
          <w:bCs/>
          <w:color w:val="2E4A7A"/>
          <w:sz w:val="26"/>
          <w:szCs w:val="26"/>
        </w:rPr>
        <w:t xml:space="preserve">1.4 Precise definition of cold fusion in this context</w:t>
      </w:r>
    </w:p>
    <w:p>
      <w:pPr>
        <w:spacing w:after="100" w:before="100"/>
        <w:jc w:val="both"/>
      </w:pPr>
      <w:r>
        <w:rPr>
          <w:rFonts w:ascii="Arial" w:cs="Arial" w:eastAsia="Arial" w:hAnsi="Arial"/>
          <w:sz w:val="22"/>
          <w:szCs w:val="22"/>
        </w:rPr>
        <w:t xml:space="preserve">The term cold fusion was used historically by Pons and Fleischmann (1989) to describe an electrochemical phenomenon that was not reproduced and has been widely rejected by the scientific community. The usage in this work is completely different and is defined with technical precision by analogy with established nuclear engineering nomenclature.</w:t>
      </w:r>
    </w:p>
    <w:p>
      <w:pPr>
        <w:spacing w:after="100" w:before="100"/>
        <w:jc w:val="both"/>
      </w:pPr>
      <w:r>
        <w:rPr>
          <w:rFonts w:ascii="Arial" w:cs="Arial" w:eastAsia="Arial" w:hAnsi="Arial"/>
          <w:sz w:val="22"/>
          <w:szCs w:val="22"/>
        </w:rPr>
        <w:t xml:space="preserve">In nuclear engineering, there exists the distinction between critical fission (k-effective &gt;= 1, self-sustaining chain reaction) and subcritical fission (k-effective &lt; 1, fission reactions without chain). The present system produces real and measurable D-T fusion reactions induced by external neutrons, with k-effective of 0.198 as determined by simulation, without reaching chain ignition conditions. Individual reactions occur at thermonuclear temperatures. What is subcritical, or cold by analogy, is the chain.</w:t>
      </w:r>
    </w:p>
    <w:p>
      <w:pPr>
        <w:spacing w:after="100" w:before="100"/>
        <w:jc w:val="both"/>
      </w:pPr>
      <w:r>
        <w:rPr>
          <w:rFonts w:ascii="Arial" w:cs="Arial" w:eastAsia="Arial" w:hAnsi="Arial"/>
          <w:sz w:val="22"/>
          <w:szCs w:val="22"/>
        </w:rPr>
        <w:t xml:space="preserve">This distinction is fundamental to the intrinsic safety of the system: if the external neutron flux or mechanical compression is interrupted, fusion reactions cease instantaneously. No catastrophic failure mode exists.</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2. Integrated System Description</w:t>
      </w:r>
    </w:p>
    <w:p>
      <w:pPr>
        <w:pStyle w:val="Heading2"/>
        <w:spacing w:after="150" w:before="300"/>
      </w:pPr>
      <w:r>
        <w:rPr>
          <w:rFonts w:ascii="Arial" w:cs="Arial" w:eastAsia="Arial" w:hAnsi="Arial"/>
          <w:b/>
          <w:bCs/>
          <w:color w:val="2E4A7A"/>
          <w:sz w:val="26"/>
          <w:szCs w:val="26"/>
        </w:rPr>
        <w:t xml:space="preserve">2.1 Overview</w:t>
      </w:r>
    </w:p>
    <w:p>
      <w:pPr>
        <w:spacing w:after="100" w:before="100"/>
        <w:jc w:val="both"/>
      </w:pPr>
      <w:r>
        <w:rPr>
          <w:rFonts w:ascii="Arial" w:cs="Arial" w:eastAsia="Arial" w:hAnsi="Arial"/>
          <w:sz w:val="22"/>
          <w:szCs w:val="22"/>
        </w:rPr>
        <w:t xml:space="preserve">The system consists of three functionally chained stages where the output of each stage is the input of the next, forming a closed cycle. Neutrons from waste produce tritium. Tritium combined with deuterium forms the fuel. Fuel compressed in the tungsten duct produces fusion and neutrons that return to the system to produce more tritium.</w:t>
      </w:r>
    </w:p>
    <w:p>
      <w:pPr>
        <w:pStyle w:val="Heading2"/>
        <w:spacing w:after="150" w:before="300"/>
      </w:pPr>
      <w:r>
        <w:rPr>
          <w:rFonts w:ascii="Arial" w:cs="Arial" w:eastAsia="Arial" w:hAnsi="Arial"/>
          <w:b/>
          <w:bCs/>
          <w:color w:val="2E4A7A"/>
          <w:sz w:val="26"/>
          <w:szCs w:val="26"/>
        </w:rPr>
        <w:t xml:space="preserve">2.2 Stage 1: Waste pools as passive neutron source</w:t>
      </w:r>
    </w:p>
    <w:p>
      <w:pPr>
        <w:spacing w:after="100" w:before="100"/>
        <w:jc w:val="both"/>
      </w:pPr>
      <w:r>
        <w:rPr>
          <w:rFonts w:ascii="Arial" w:cs="Arial" w:eastAsia="Arial" w:hAnsi="Arial"/>
          <w:sz w:val="22"/>
          <w:szCs w:val="22"/>
        </w:rPr>
        <w:t xml:space="preserve">High-level radioactive waste stored in pools spontaneously emits neutrons during decay. The system proposes surrounding these pools with a circuit of liquid lithium enriched to 90% in Li-6. The emitted neutrons bombard the lithium producing tritium via:</w:t>
      </w:r>
    </w:p>
    <w:p>
      <w:pPr>
        <w:shd w:fill="F0F4F8" w:val="clear"/>
        <w:spacing w:after="60" w:before="60"/>
      </w:pPr>
      <w:r>
        <w:rPr>
          <w:rFonts w:ascii="Courier New" w:cs="Courier New" w:eastAsia="Courier New" w:hAnsi="Courier New"/>
          <w:color w:val="1A3A5C"/>
          <w:sz w:val="20"/>
          <w:szCs w:val="20"/>
        </w:rPr>
        <w:t xml:space="preserve">Li-6 + n -&gt; T + He-4 + 4.78 MeV</w:t>
      </w:r>
    </w:p>
    <w:p>
      <w:pPr>
        <w:spacing w:after="100" w:before="100"/>
        <w:jc w:val="both"/>
      </w:pPr>
      <w:r>
        <w:rPr>
          <w:rFonts w:ascii="Arial" w:cs="Arial" w:eastAsia="Arial" w:hAnsi="Arial"/>
          <w:sz w:val="22"/>
          <w:szCs w:val="22"/>
        </w:rPr>
        <w:t xml:space="preserve">The heat from radioactive decay and nuclear reactions heats the circulating liquid lithium, usable for industrial or urban heating through an external heat exchanger. The system is completely passive - it requires no external energy to operate. Produced tritium naturally bubbles in the liquid lithium and is extracted via a chemical filter in continuous circuit without shutting down the system. Radioactive waste accelerates its transmutation by being irradiated by its own neutrons reconcentrated by the system geometry, effectively reducing its active radioactive lifetime.</w:t>
      </w:r>
    </w:p>
    <w:p>
      <w:pPr>
        <w:pStyle w:val="Heading2"/>
        <w:spacing w:after="150" w:before="300"/>
      </w:pPr>
      <w:r>
        <w:rPr>
          <w:rFonts w:ascii="Arial" w:cs="Arial" w:eastAsia="Arial" w:hAnsi="Arial"/>
          <w:b/>
          <w:bCs/>
          <w:color w:val="2E4A7A"/>
          <w:sz w:val="26"/>
          <w:szCs w:val="26"/>
        </w:rPr>
        <w:t xml:space="preserve">2.3 Stage 2: D-T fuel production</w:t>
      </w:r>
    </w:p>
    <w:p>
      <w:pPr>
        <w:spacing w:after="100" w:before="100"/>
        <w:jc w:val="both"/>
      </w:pPr>
      <w:r>
        <w:rPr>
          <w:rFonts w:ascii="Arial" w:cs="Arial" w:eastAsia="Arial" w:hAnsi="Arial"/>
          <w:sz w:val="22"/>
          <w:szCs w:val="22"/>
        </w:rPr>
        <w:t xml:space="preserve">The extracted tritium is mixed with deuterium obtained by electrolysis of seawater. Deuterium is practically unlimited: seawater contains approximately 33 grams of deuterium per metric ton. The resulting D-T mixture is preheated using residual heat from the lithium system before entering Stage 3.</w:t>
      </w:r>
    </w:p>
    <w:p>
      <w:pPr>
        <w:pStyle w:val="Heading2"/>
        <w:spacing w:after="150" w:before="300"/>
      </w:pPr>
      <w:r>
        <w:rPr>
          <w:rFonts w:ascii="Arial" w:cs="Arial" w:eastAsia="Arial" w:hAnsi="Arial"/>
          <w:b/>
          <w:bCs/>
          <w:color w:val="2E4A7A"/>
          <w:sz w:val="26"/>
          <w:szCs w:val="26"/>
        </w:rPr>
        <w:t xml:space="preserve">2.4 Stage 3: Cold fusion engine via confinement in tungsten duct</w:t>
      </w:r>
    </w:p>
    <w:p>
      <w:pPr>
        <w:spacing w:after="100" w:before="100"/>
        <w:jc w:val="both"/>
      </w:pPr>
      <w:r>
        <w:rPr>
          <w:rFonts w:ascii="Arial" w:cs="Arial" w:eastAsia="Arial" w:hAnsi="Arial"/>
          <w:sz w:val="22"/>
          <w:szCs w:val="22"/>
        </w:rPr>
        <w:t xml:space="preserve">The preheated D-T mixture enters a tungsten duct where a mechanical press compresses it progressively. The operating principle is analogous to a diesel engine: adiabatic compression raises the temperature to localized ignition conditions without external spark. The tungsten duct acts simultaneously as a geometric confiner preventing lateral expansion of the compressed D-T, as a neutron reflector returning fusion neutrons to the channel (factor 2.52 measured in simulation), and as a structural element resistant to extreme heat (melting point 3422 C).</w:t>
      </w:r>
    </w:p>
    <w:p>
      <w:pPr>
        <w:spacing w:after="100" w:before="100"/>
        <w:jc w:val="both"/>
      </w:pPr>
      <w:r>
        <w:rPr>
          <w:rFonts w:ascii="Arial" w:cs="Arial" w:eastAsia="Arial" w:hAnsi="Arial"/>
          <w:sz w:val="22"/>
          <w:szCs w:val="22"/>
        </w:rPr>
        <w:t xml:space="preserve">This concept of mechanical geometric confinement is analogously related to Magnetized Target Fusion in cylindrical geometry [4], where compression of a cylindrical liner onto preheated D-T fuel generates ignition conditions. The difference is that the present system uses static mechanical tungsten confinement rather than dynamic electromagnetic implosion, and deliberately operates in subcritical regime.</w:t>
      </w:r>
    </w:p>
    <w:p>
      <w:pPr>
        <w:spacing w:after="100" w:before="100"/>
        <w:jc w:val="both"/>
      </w:pPr>
      <w:r>
        <w:rPr>
          <w:rFonts w:ascii="Arial" w:cs="Arial" w:eastAsia="Arial" w:hAnsi="Arial"/>
          <w:sz w:val="22"/>
          <w:szCs w:val="22"/>
        </w:rPr>
        <w:t xml:space="preserve">Final products are inert helium-4 and 14.1 MeV neutrons that return to the lithium system closing the cycle.</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3. Monte Carlo Simulation Results</w:t>
      </w:r>
    </w:p>
    <w:p>
      <w:pPr>
        <w:pStyle w:val="Heading2"/>
        <w:spacing w:after="150" w:before="300"/>
      </w:pPr>
      <w:r>
        <w:rPr>
          <w:rFonts w:ascii="Arial" w:cs="Arial" w:eastAsia="Arial" w:hAnsi="Arial"/>
          <w:b/>
          <w:bCs/>
          <w:color w:val="2E4A7A"/>
          <w:sz w:val="26"/>
          <w:szCs w:val="26"/>
        </w:rPr>
        <w:t xml:space="preserve">3.1 Methodology</w:t>
      </w:r>
    </w:p>
    <w:p>
      <w:pPr>
        <w:spacing w:after="100" w:before="100"/>
        <w:jc w:val="both"/>
      </w:pPr>
      <w:r>
        <w:rPr>
          <w:rFonts w:ascii="Arial" w:cs="Arial" w:eastAsia="Arial" w:hAnsi="Arial"/>
          <w:sz w:val="22"/>
          <w:szCs w:val="22"/>
        </w:rPr>
        <w:t xml:space="preserve">Simulations were performed with OpenMC 0.15.3 [5] using ENDF/B-VIII.1 nuclear data libraries [6]. Between 10,000 and 20,000 particles per batch were run with 100 active batches and 10 inactive batches for statistical convergence. Geometry was defined using exact constructive surfaces in Cartesian coordinates.</w:t>
      </w:r>
    </w:p>
    <w:p>
      <w:pPr>
        <w:spacing w:after="100" w:before="100"/>
        <w:jc w:val="both"/>
      </w:pPr>
      <w:r>
        <w:rPr>
          <w:rFonts w:ascii="Arial" w:cs="Arial" w:eastAsia="Arial" w:hAnsi="Arial"/>
          <w:sz w:val="22"/>
          <w:szCs w:val="22"/>
        </w:rPr>
        <w:t xml:space="preserve">The primary measured parameter is the Tritium Breeding Ratio (TBR): number of tritium atoms produced per generated neutron. A TBR greater than 1.0 indicates tritium self-sufficiency. The leakage fraction measures the percentage of neutrons that escape without interacting with lithium.</w:t>
      </w:r>
    </w:p>
    <w:p>
      <w:pPr>
        <w:pStyle w:val="Heading2"/>
        <w:spacing w:after="150" w:before="300"/>
      </w:pPr>
      <w:r>
        <w:rPr>
          <w:rFonts w:ascii="Arial" w:cs="Arial" w:eastAsia="Arial" w:hAnsi="Arial"/>
          <w:b/>
          <w:bCs/>
          <w:color w:val="2E4A7A"/>
          <w:sz w:val="26"/>
          <w:szCs w:val="26"/>
        </w:rPr>
        <w:t xml:space="preserve">3.2 Design evolution and TBR optimization</w:t>
      </w:r>
    </w:p>
    <w:p>
      <w:pPr>
        <w:spacing w:after="100" w:before="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000"/>
        <w:gridCol w:w="30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TBR</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Leakage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 cylinder 15cm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0.4879 +/- 0.0007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PbF2 cylinder 15cm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0.5035 +/- 0.0007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reflector than LiF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PbF2 cylinder 25cm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0.6713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Larger lithium volume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Tungsten deflector plates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0.6837 +/- 0.0009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leakage reduction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Bottle with neck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0.6276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bottle geometry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bottle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0.7784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lithium volume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Uranium toroid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0.8187 +/- 0.0009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toroidal emitter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Tungsten bundt-pan + toroid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0.8412 +/- 0.0010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DESIGN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Uranium helix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0.7941 +/- 0.0012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than continuous toroid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Bundt-pan + deuterium gas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0.8193 +/- 0.0010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gas with no TBR penalty</w:t>
            </w:r>
          </w:p>
        </w:tc>
      </w:tr>
    </w:tbl>
    <w:p>
      <w:pPr>
        <w:spacing w:after="100" w:before="100"/>
      </w:pPr>
    </w:p>
    <w:p>
      <w:pPr>
        <w:pStyle w:val="Heading2"/>
        <w:spacing w:after="150" w:before="300"/>
      </w:pPr>
      <w:r>
        <w:rPr>
          <w:rFonts w:ascii="Arial" w:cs="Arial" w:eastAsia="Arial" w:hAnsi="Arial"/>
          <w:b/>
          <w:bCs/>
          <w:color w:val="2E4A7A"/>
          <w:sz w:val="26"/>
          <w:szCs w:val="26"/>
        </w:rPr>
        <w:t xml:space="preserve">3.3 Optimal geometry</w:t>
      </w:r>
    </w:p>
    <w:p>
      <w:pPr>
        <w:spacing w:after="100" w:before="100"/>
        <w:jc w:val="both"/>
      </w:pPr>
      <w:r>
        <w:rPr>
          <w:rFonts w:ascii="Arial" w:cs="Arial" w:eastAsia="Arial" w:hAnsi="Arial"/>
          <w:sz w:val="22"/>
          <w:szCs w:val="22"/>
        </w:rPr>
        <w:t xml:space="preserve">The best-performing configuration consists of a bottle-shaped chamber with a tungsten neck, a uranium toroid with major radius 20cm and minor radius 4cm as neutron source, and a toroidal tungsten bundt-pan reflector with major radius 30cm and 3cm walls. Li-6-enriched liquid lithium (90% enrichment) circulates through both the wide inlet zone and the inner chamber surrounding the toroid. This configuration achieves 0.37% leakage, utilizing 99.63% of generated neutrons.</w:t>
      </w:r>
    </w:p>
    <w:p>
      <w:pPr>
        <w:pStyle w:val="Heading2"/>
        <w:spacing w:after="150" w:before="300"/>
      </w:pPr>
      <w:r>
        <w:rPr>
          <w:rFonts w:ascii="Arial" w:cs="Arial" w:eastAsia="Arial" w:hAnsi="Arial"/>
          <w:b/>
          <w:bCs/>
          <w:color w:val="2E4A7A"/>
          <w:sz w:val="26"/>
          <w:szCs w:val="26"/>
        </w:rPr>
        <w:t xml:space="preserve">3.4 Effect of tungsten duct on D-T reactions</w:t>
      </w:r>
    </w:p>
    <w:p>
      <w:pPr>
        <w:spacing w:after="100" w:before="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D-T Reactions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Neutron flux</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 channel without tungsten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0.00000181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 channel with W 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0.00000457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2.52x amplification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 in tungsten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than in DT</w:t>
            </w:r>
          </w:p>
        </w:tc>
      </w:tr>
    </w:tbl>
    <w:p>
      <w:pPr>
        <w:spacing w:after="100" w:before="100"/>
      </w:pPr>
    </w:p>
    <w:p>
      <w:pPr>
        <w:spacing w:after="100" w:before="100"/>
        <w:jc w:val="both"/>
      </w:pPr>
      <w:r>
        <w:rPr>
          <w:rFonts w:ascii="Arial" w:cs="Arial" w:eastAsia="Arial" w:hAnsi="Arial"/>
          <w:sz w:val="22"/>
          <w:szCs w:val="22"/>
        </w:rPr>
        <w:t xml:space="preserve">The tungsten duct amplifies neutron reactions in the D-T channel by a factor of 2.52. The neutron flux in the tungsten (9.07) exceeds that of the D-T channel (5.04), confirming that tungsten acts as a neutron reservoir continuously reflecting neutrons back into the fusion channel.</w:t>
      </w:r>
    </w:p>
    <w:p>
      <w:pPr>
        <w:pStyle w:val="Heading2"/>
        <w:spacing w:after="150" w:before="300"/>
      </w:pPr>
      <w:r>
        <w:rPr>
          <w:rFonts w:ascii="Arial" w:cs="Arial" w:eastAsia="Arial" w:hAnsi="Arial"/>
          <w:b/>
          <w:bCs/>
          <w:color w:val="2E4A7A"/>
          <w:sz w:val="26"/>
          <w:szCs w:val="26"/>
        </w:rPr>
        <w:t xml:space="preserve">3.5 Analytical D-T fusion rate calculation</w:t>
      </w:r>
    </w:p>
    <w:p>
      <w:pPr>
        <w:spacing w:after="10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Temperature (keV)</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Temperature (M degrees)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Fusions/cm3/s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Power (W/cm3)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3.55e+14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7.92e+27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2.23e+15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3.29e+17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(optimal)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3.07e+17</w:t>
            </w:r>
          </w:p>
        </w:tc>
      </w:tr>
    </w:tbl>
    <w:p>
      <w:pPr>
        <w:spacing w:after="100" w:before="100"/>
      </w:pPr>
    </w:p>
    <w:p>
      <w:pPr>
        <w:spacing w:after="80" w:before="80"/>
        <w:jc w:val="both"/>
      </w:pPr>
      <w:r>
        <w:rPr>
          <w:rFonts w:ascii="Arial" w:cs="Arial" w:eastAsia="Arial" w:hAnsi="Arial"/>
          <w:i/>
          <w:iCs/>
          <w:color w:val="666666"/>
          <w:sz w:val="20"/>
          <w:szCs w:val="20"/>
        </w:rPr>
        <w:t xml:space="preserve">Theoretical values for perfect confinement at thermal equilibrium. The pulsed engine approximates these conditions through rapid compression and tungsten geometric confinement.</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4. Discussion</w:t>
      </w:r>
    </w:p>
    <w:p>
      <w:pPr>
        <w:pStyle w:val="Heading2"/>
        <w:spacing w:after="150" w:before="300"/>
      </w:pPr>
      <w:r>
        <w:rPr>
          <w:rFonts w:ascii="Arial" w:cs="Arial" w:eastAsia="Arial" w:hAnsi="Arial"/>
          <w:b/>
          <w:bCs/>
          <w:color w:val="2E4A7A"/>
          <w:sz w:val="26"/>
          <w:szCs w:val="26"/>
        </w:rPr>
        <w:t xml:space="preserve">4.1 Position in the fusion research space</w:t>
      </w:r>
    </w:p>
    <w:p>
      <w:pPr>
        <w:spacing w:after="100" w:before="100"/>
        <w:jc w:val="both"/>
      </w:pPr>
      <w:r>
        <w:rPr>
          <w:rFonts w:ascii="Arial" w:cs="Arial" w:eastAsia="Arial" w:hAnsi="Arial"/>
          <w:sz w:val="22"/>
          <w:szCs w:val="22"/>
        </w:rPr>
        <w:t xml:space="preserve">The Cold Fusion Engine occupies a specific conceptual space in the map of fusion technologies. The Lawson criterion [3] defines the triple product nTt necessary for ignition. Tokamaks like ITER seek high nTt through prolonged magnetic confinement. Inertial confinement fusion (ICF) [7] seeks it through ultrafast compression to extreme densities. The MIF [1] and MTF [2] families seek an intermediate point.</w:t>
      </w:r>
    </w:p>
    <w:p>
      <w:pPr>
        <w:spacing w:after="100" w:before="100"/>
        <w:jc w:val="both"/>
      </w:pPr>
      <w:r>
        <w:rPr>
          <w:rFonts w:ascii="Arial" w:cs="Arial" w:eastAsia="Arial" w:hAnsi="Arial"/>
          <w:sz w:val="22"/>
          <w:szCs w:val="22"/>
        </w:rPr>
        <w:t xml:space="preserve">The present system deliberately operates below the threshold of sustained ignition, in subcritical fusion regime. The objective is not chain ignition but efficient tritium production from existing radioactive waste, with fusion as a secondary process that amplifies the available neutron flux by the factor 2.52 measured in simulation.</w:t>
      </w:r>
    </w:p>
    <w:p>
      <w:pPr>
        <w:pStyle w:val="Heading2"/>
        <w:spacing w:after="150" w:before="300"/>
      </w:pPr>
      <w:r>
        <w:rPr>
          <w:rFonts w:ascii="Arial" w:cs="Arial" w:eastAsia="Arial" w:hAnsi="Arial"/>
          <w:b/>
          <w:bCs/>
          <w:color w:val="2E4A7A"/>
          <w:sz w:val="26"/>
          <w:szCs w:val="26"/>
        </w:rPr>
        <w:t xml:space="preserve">4.2 Advantages of the integrated system</w:t>
      </w:r>
    </w:p>
    <w:p>
      <w:pPr>
        <w:pStyle w:val="ListParagraph"/>
        <w:numPr>
          <w:ilvl w:val="0"/>
          <w:numId w:val="2"/>
        </w:numPr>
        <w:spacing w:after="60" w:before="60"/>
      </w:pPr>
      <w:r>
        <w:rPr>
          <w:rFonts w:ascii="Arial" w:cs="Arial" w:eastAsia="Arial" w:hAnsi="Arial"/>
          <w:sz w:val="22"/>
          <w:szCs w:val="22"/>
        </w:rPr>
        <w:t xml:space="preserve">Completely passive in Stage 1. Waste neutrons are the primary resource. No external energy required to operate.</w:t>
      </w:r>
    </w:p>
    <w:p>
      <w:pPr>
        <w:pStyle w:val="ListParagraph"/>
        <w:numPr>
          <w:ilvl w:val="0"/>
          <w:numId w:val="2"/>
        </w:numPr>
        <w:spacing w:after="60" w:before="60"/>
      </w:pPr>
      <w:r>
        <w:rPr>
          <w:rFonts w:ascii="Arial" w:cs="Arial" w:eastAsia="Arial" w:hAnsi="Arial"/>
          <w:sz w:val="22"/>
          <w:szCs w:val="22"/>
        </w:rPr>
        <w:t xml:space="preserve">Waste transmutation as natural secondary effect. The system accelerates waste decay, reducing required custody time.</w:t>
      </w:r>
    </w:p>
    <w:p>
      <w:pPr>
        <w:pStyle w:val="ListParagraph"/>
        <w:numPr>
          <w:ilvl w:val="0"/>
          <w:numId w:val="2"/>
        </w:numPr>
        <w:spacing w:after="60" w:before="60"/>
      </w:pPr>
      <w:r>
        <w:rPr>
          <w:rFonts w:ascii="Arial" w:cs="Arial" w:eastAsia="Arial" w:hAnsi="Arial"/>
          <w:sz w:val="22"/>
          <w:szCs w:val="22"/>
        </w:rPr>
        <w:t xml:space="preserve">Intrinsic safety in all stages. No fission chain reaction. No high-temperature plasma confinement. Instantaneous shutdown upon compression interruption.</w:t>
      </w:r>
    </w:p>
    <w:p>
      <w:pPr>
        <w:pStyle w:val="ListParagraph"/>
        <w:numPr>
          <w:ilvl w:val="0"/>
          <w:numId w:val="2"/>
        </w:numPr>
        <w:spacing w:after="60" w:before="60"/>
      </w:pPr>
      <w:r>
        <w:rPr>
          <w:rFonts w:ascii="Arial" w:cs="Arial" w:eastAsia="Arial" w:hAnsi="Arial"/>
          <w:sz w:val="22"/>
          <w:szCs w:val="22"/>
        </w:rPr>
        <w:t xml:space="preserve">Closed neutron cycle. Fusion neutrons from Stage 3 return to Stage 1 to produce more tritium.</w:t>
      </w:r>
    </w:p>
    <w:p>
      <w:pPr>
        <w:pStyle w:val="ListParagraph"/>
        <w:numPr>
          <w:ilvl w:val="0"/>
          <w:numId w:val="2"/>
        </w:numPr>
        <w:spacing w:after="60" w:before="60"/>
      </w:pPr>
      <w:r>
        <w:rPr>
          <w:rFonts w:ascii="Arial" w:cs="Arial" w:eastAsia="Arial" w:hAnsi="Arial"/>
          <w:sz w:val="22"/>
          <w:szCs w:val="22"/>
        </w:rPr>
        <w:t xml:space="preserve">Clean byproducts. Inert helium-4 as the only gaseous fusion product.</w:t>
      </w:r>
    </w:p>
    <w:p>
      <w:pPr>
        <w:pStyle w:val="Heading2"/>
        <w:spacing w:after="150" w:before="300"/>
      </w:pPr>
      <w:r>
        <w:rPr>
          <w:rFonts w:ascii="Arial" w:cs="Arial" w:eastAsia="Arial" w:hAnsi="Arial"/>
          <w:b/>
          <w:bCs/>
          <w:color w:val="2E4A7A"/>
          <w:sz w:val="26"/>
          <w:szCs w:val="26"/>
        </w:rPr>
        <w:t xml:space="preserve">4.3 Limitations and future work</w:t>
      </w:r>
    </w:p>
    <w:p>
      <w:pPr>
        <w:spacing w:after="100" w:before="100"/>
        <w:jc w:val="both"/>
      </w:pPr>
      <w:r>
        <w:rPr>
          <w:rFonts w:ascii="Arial" w:cs="Arial" w:eastAsia="Arial" w:hAnsi="Arial"/>
          <w:sz w:val="22"/>
          <w:szCs w:val="22"/>
        </w:rPr>
        <w:t xml:space="preserve">The maximum TBR achieved in simulation is 0.8412. Reaching TBR greater than 1.0 requires additional geometric optimization or neutron multipliers. The fusion engine simulation uses a fixed source and does not capture the dynamics of the ignition wave: modeling the complete process requires a hydrodynamic code coupled with nuclear physics such as HYDRA or FLASH, accounting for hydrodynamic instabilities such as Rayleigh-Taylor [8]. Plasma-wall interaction with tungsten at extreme temperatures requires specific experimental verification [9].</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5. Conclusions</w:t>
      </w:r>
    </w:p>
    <w:p>
      <w:pPr>
        <w:spacing w:after="100" w:before="100"/>
        <w:jc w:val="both"/>
      </w:pPr>
      <w:r>
        <w:rPr>
          <w:rFonts w:ascii="Arial" w:cs="Arial" w:eastAsia="Arial" w:hAnsi="Arial"/>
          <w:sz w:val="22"/>
          <w:szCs w:val="22"/>
        </w:rPr>
        <w:t xml:space="preserve">We have presented the concept of a Cold Fusion Engine from Radioactive Waste, technically defining cold fusion as unsustained subcritical fusion in direct analogy with subcritical fission. Monte Carlo simulations with OpenMC demonstrated:</w:t>
      </w:r>
    </w:p>
    <w:p>
      <w:pPr>
        <w:pStyle w:val="ListParagraph"/>
        <w:numPr>
          <w:ilvl w:val="0"/>
          <w:numId w:val="2"/>
        </w:numPr>
        <w:spacing w:after="60" w:before="60"/>
      </w:pPr>
      <w:r>
        <w:rPr>
          <w:rFonts w:ascii="Arial" w:cs="Arial" w:eastAsia="Arial" w:hAnsi="Arial"/>
          <w:sz w:val="22"/>
          <w:szCs w:val="22"/>
        </w:rPr>
        <w:t xml:space="preserve">The bottle geometry with uranium toroid and tungsten bundt-pan achieves TBR 0.8412 with 0.37% leakage, a 72% improvement over the initial reference geometry.</w:t>
      </w:r>
    </w:p>
    <w:p>
      <w:pPr>
        <w:pStyle w:val="ListParagraph"/>
        <w:numPr>
          <w:ilvl w:val="0"/>
          <w:numId w:val="2"/>
        </w:numPr>
        <w:spacing w:after="60" w:before="60"/>
      </w:pPr>
      <w:r>
        <w:rPr>
          <w:rFonts w:ascii="Arial" w:cs="Arial" w:eastAsia="Arial" w:hAnsi="Arial"/>
          <w:sz w:val="22"/>
          <w:szCs w:val="22"/>
        </w:rPr>
        <w:t xml:space="preserve">The tungsten duct amplifies neutron reactions in the D-T channel by a factor of 2.52.</w:t>
      </w:r>
    </w:p>
    <w:p>
      <w:pPr>
        <w:pStyle w:val="ListParagraph"/>
        <w:numPr>
          <w:ilvl w:val="0"/>
          <w:numId w:val="2"/>
        </w:numPr>
        <w:spacing w:after="60" w:before="60"/>
      </w:pPr>
      <w:r>
        <w:rPr>
          <w:rFonts w:ascii="Arial" w:cs="Arial" w:eastAsia="Arial" w:hAnsi="Arial"/>
          <w:sz w:val="22"/>
          <w:szCs w:val="22"/>
        </w:rPr>
        <w:t xml:space="preserve">The system is inherently subcritical with k-effective of 0.198 and passively safe in all stages.</w:t>
      </w:r>
    </w:p>
    <w:p>
      <w:pPr>
        <w:pStyle w:val="ListParagraph"/>
        <w:numPr>
          <w:ilvl w:val="0"/>
          <w:numId w:val="2"/>
        </w:numPr>
        <w:spacing w:after="60" w:before="60"/>
      </w:pPr>
      <w:r>
        <w:rPr>
          <w:rFonts w:ascii="Arial" w:cs="Arial" w:eastAsia="Arial" w:hAnsi="Arial"/>
          <w:sz w:val="22"/>
          <w:szCs w:val="22"/>
        </w:rPr>
        <w:t xml:space="preserve">The cold fusion engine principle via compression in tungsten duct is physically consistent with D-T reactivity data and with the MIF/MTF research family.</w:t>
      </w:r>
    </w:p>
    <w:p>
      <w:pPr>
        <w:pStyle w:val="ListParagraph"/>
        <w:numPr>
          <w:ilvl w:val="0"/>
          <w:numId w:val="2"/>
        </w:numPr>
        <w:spacing w:after="60" w:before="60"/>
      </w:pPr>
      <w:r>
        <w:rPr>
          <w:rFonts w:ascii="Arial" w:cs="Arial" w:eastAsia="Arial" w:hAnsi="Arial"/>
          <w:sz w:val="22"/>
          <w:szCs w:val="22"/>
        </w:rPr>
        <w:t xml:space="preserve">Deuterium gas circulating in the internal bundt-pan circuit generates no TBR penalty, enabling direct extraction of produced D-T mixture.</w:t>
      </w:r>
    </w:p>
    <w:p>
      <w:pPr>
        <w:pBdr>
          <w:top w:val="single" w:color="AAAAAA" w:sz="2" w:space="6"/>
          <w:bottom w:val="single" w:color="AAAAAA" w:sz="2" w:space="6"/>
        </w:pBdr>
        <w:spacing w:after="180" w:before="180"/>
        <w:jc w:val="center"/>
      </w:pPr>
      <w:r>
        <w:rPr>
          <w:rFonts w:ascii="Arial" w:cs="Arial" w:eastAsia="Arial" w:hAnsi="Arial"/>
          <w:b/>
          <w:bCs/>
          <w:color w:val="1A3A5C"/>
          <w:sz w:val="23"/>
          <w:szCs w:val="23"/>
        </w:rPr>
        <w:t xml:space="preserve">Radioactive waste is not the problem. It is the fuel that the dominant system does not yet know how to use.</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6. References</w:t>
      </w:r>
    </w:p>
    <w:p>
      <w:pPr>
        <w:spacing w:after="100" w:before="100"/>
      </w:pPr>
    </w:p>
    <w:p>
      <w:pPr>
        <w:spacing w:after="60" w:before="60"/>
      </w:pPr>
      <w:r>
        <w:rPr>
          <w:rFonts w:ascii="Arial" w:cs="Arial" w:eastAsia="Arial" w:hAnsi="Arial"/>
          <w:sz w:val="20"/>
          <w:szCs w:val="20"/>
        </w:rPr>
        <w:t xml:space="preserve">[1] Wurden, G.A., Hsu, S.C., Intrator, T.P., et al. (2015). Magneto-Inertial Fusion. Journal of Fusion Energy, 34(1), 69-77. DOI: 10.1007/s10894-015-0038-x</w:t>
      </w:r>
    </w:p>
    <w:p>
      <w:pPr>
        <w:spacing w:after="60" w:before="60"/>
      </w:pPr>
      <w:r>
        <w:rPr>
          <w:rFonts w:ascii="Arial" w:cs="Arial" w:eastAsia="Arial" w:hAnsi="Arial"/>
          <w:sz w:val="20"/>
          <w:szCs w:val="20"/>
        </w:rPr>
        <w:t xml:space="preserve">[2] Kirkpatrick, R.C., Lindemuth, I.R., Ward, M.S. (1995). Magnetized Target Fusion: An Overview. Fusion Technology, 27(2). DOI: 10.13182/FST95-A30382</w:t>
      </w:r>
    </w:p>
    <w:p>
      <w:pPr>
        <w:spacing w:after="60" w:before="60"/>
      </w:pPr>
      <w:r>
        <w:rPr>
          <w:rFonts w:ascii="Arial" w:cs="Arial" w:eastAsia="Arial" w:hAnsi="Arial"/>
          <w:sz w:val="20"/>
          <w:szCs w:val="20"/>
        </w:rPr>
        <w:t xml:space="preserve">[3] Lawson, J.D. (1957). Some Criteria for a Power Producing Thermonuclear Reactor. Proceedings of the Physical Society B, 70(1), 6-10. DOI: 10.1088/0370-1301/70/1/303</w:t>
      </w:r>
    </w:p>
    <w:p>
      <w:pPr>
        <w:spacing w:after="60" w:before="60"/>
      </w:pPr>
      <w:r>
        <w:rPr>
          <w:rFonts w:ascii="Arial" w:cs="Arial" w:eastAsia="Arial" w:hAnsi="Arial"/>
          <w:sz w:val="20"/>
          <w:szCs w:val="20"/>
        </w:rPr>
        <w:t xml:space="preserve">[4] Basko, M.M., Kemp, A.J., Meyer-ter-Vehn, J. (2000). Ignition conditions for magnetized target fusion in cylindrical geometry. Nuclear Fusion, 40(1), 59. DOI: 10.1088/0029-5515/40/1/305</w:t>
      </w:r>
    </w:p>
    <w:p>
      <w:pPr>
        <w:spacing w:after="60" w:before="60"/>
      </w:pPr>
      <w:r>
        <w:rPr>
          <w:rFonts w:ascii="Arial" w:cs="Arial" w:eastAsia="Arial" w:hAnsi="Arial"/>
          <w:sz w:val="20"/>
          <w:szCs w:val="20"/>
        </w:rPr>
        <w:t xml:space="preserve">[5] Romano, P.K., et al. OpenMC: A State-of-the-Art Monte Carlo Code for Research and Development. MIT Nuclear Science and Engineering. https://openmc.org</w:t>
      </w:r>
    </w:p>
    <w:p>
      <w:pPr>
        <w:spacing w:after="60" w:before="60"/>
      </w:pPr>
      <w:r>
        <w:rPr>
          <w:rFonts w:ascii="Arial" w:cs="Arial" w:eastAsia="Arial" w:hAnsi="Arial"/>
          <w:sz w:val="20"/>
          <w:szCs w:val="20"/>
        </w:rPr>
        <w:t xml:space="preserve">[6] ENDF/B-VIII.1 Nuclear Data Library. Brookhaven National Laboratory. National Nuclear Data Center. https://www.nndc.bnl.gov/endf/</w:t>
      </w:r>
    </w:p>
    <w:p>
      <w:pPr>
        <w:spacing w:after="60" w:before="60"/>
      </w:pPr>
      <w:r>
        <w:rPr>
          <w:rFonts w:ascii="Arial" w:cs="Arial" w:eastAsia="Arial" w:hAnsi="Arial"/>
          <w:sz w:val="20"/>
          <w:szCs w:val="20"/>
        </w:rPr>
        <w:t xml:space="preserve">[7] Hurricane, O.A., et al. (2016). Inertial-confinement fusion with lasers. Nature Physics, 12, 435-448. DOI: 10.1038/nphys3736</w:t>
      </w:r>
    </w:p>
    <w:p>
      <w:pPr>
        <w:spacing w:after="60" w:before="60"/>
      </w:pPr>
      <w:r>
        <w:rPr>
          <w:rFonts w:ascii="Arial" w:cs="Arial" w:eastAsia="Arial" w:hAnsi="Arial"/>
          <w:sz w:val="20"/>
          <w:szCs w:val="20"/>
        </w:rPr>
        <w:t xml:space="preserve">[8] Bodner, S.E., et al. (1998). Direct-drive laser fusion: Status and prospects. Physics of Plasmas, 5(5), 1901. DOI: 10.1063/1.872861 [Rayleigh-Taylor instabilities]</w:t>
      </w:r>
    </w:p>
    <w:p>
      <w:pPr>
        <w:spacing w:after="60" w:before="60"/>
      </w:pPr>
      <w:r>
        <w:rPr>
          <w:rFonts w:ascii="Arial" w:cs="Arial" w:eastAsia="Arial" w:hAnsi="Arial"/>
          <w:sz w:val="20"/>
          <w:szCs w:val="20"/>
        </w:rPr>
        <w:t xml:space="preserve">[9] ITER Organization. (2024). Plasma-Facing Components and Tungsten Divertor. https://www.iter.org/mach/divertor</w:t>
      </w:r>
    </w:p>
    <w:p>
      <w:pPr>
        <w:spacing w:after="60" w:before="60"/>
      </w:pPr>
      <w:r>
        <w:rPr>
          <w:rFonts w:ascii="Arial" w:cs="Arial" w:eastAsia="Arial" w:hAnsi="Arial"/>
          <w:sz w:val="20"/>
          <w:szCs w:val="20"/>
        </w:rPr>
        <w:t xml:space="preserve">[10] U.S. Department of Energy / Rosatom. (1993-2013). Megatons to Megawatts Program. HEU Purchase Agreement.</w:t>
      </w:r>
    </w:p>
    <w:p>
      <w:pPr>
        <w:spacing w:after="60" w:before="60"/>
      </w:pPr>
      <w:r>
        <w:rPr>
          <w:rFonts w:ascii="Arial" w:cs="Arial" w:eastAsia="Arial" w:hAnsi="Arial"/>
          <w:sz w:val="20"/>
          <w:szCs w:val="20"/>
        </w:rPr>
        <w:t xml:space="preserve">[11] Dong, X., Oganov, A.R., et al. (2017). A stable compound of helium and sodium at high pressure. Nature Chemistry, 9, 440-445. DOI: 10.1038/nchem.2716</w:t>
      </w:r>
    </w:p>
    <w:p>
      <w:pPr>
        <w:spacing w:after="60" w:before="60"/>
      </w:pPr>
      <w:r>
        <w:rPr>
          <w:rFonts w:ascii="Arial" w:cs="Arial" w:eastAsia="Arial" w:hAnsi="Arial"/>
          <w:sz w:val="20"/>
          <w:szCs w:val="20"/>
        </w:rPr>
        <w:t xml:space="preserve">[12] Pons, S., Fleischmann, M. (1989). Electrochemically induced nuclear fusion of deuterium. J. Electroanal. Chem. [Cited for explicit conceptual distinction from the present work]</w:t>
      </w:r>
    </w:p>
    <w:p>
      <w:pPr>
        <w:pBdr>
          <w:bottom w:val="single" w:color="2E4A7A" w:sz="4" w:space="1"/>
        </w:pBdr>
        <w:spacing w:after="200" w:before="200"/>
      </w:pPr>
    </w:p>
    <w:p>
      <w:pPr>
        <w:spacing w:after="60" w:before="400"/>
        <w:jc w:val="center"/>
      </w:pPr>
      <w:r>
        <w:rPr>
          <w:rFonts w:ascii="Arial" w:cs="Arial" w:eastAsia="Arial" w:hAnsi="Arial"/>
          <w:b/>
          <w:bCs/>
          <w:color w:val="1A3A5C"/>
          <w:sz w:val="22"/>
          <w:szCs w:val="22"/>
        </w:rPr>
        <w:t xml:space="preserve">Cold Fusion Engine from Radioactive Waste</w:t>
      </w:r>
    </w:p>
    <w:p>
      <w:pPr>
        <w:spacing w:after="60" w:before="0"/>
        <w:jc w:val="center"/>
      </w:pPr>
      <w:r>
        <w:rPr>
          <w:rFonts w:ascii="Arial" w:cs="Arial" w:eastAsia="Arial" w:hAnsi="Arial"/>
          <w:color w:val="888888"/>
          <w:sz w:val="18"/>
          <w:szCs w:val="18"/>
        </w:rPr>
        <w:t xml:space="preserve">Hijos del Sol y la Basura Foundation  |  Cordoba, Argentina  |  May 2026</w:t>
      </w:r>
    </w:p>
    <w:p>
      <w:pPr>
        <w:spacing w:after="60" w:before="0"/>
        <w:jc w:val="center"/>
      </w:pPr>
      <w:r>
        <w:rPr>
          <w:rFonts w:ascii="Arial" w:cs="Arial" w:eastAsia="Arial" w:hAnsi="Arial"/>
          <w:i/>
          <w:iCs/>
          <w:color w:val="888888"/>
          <w:sz w:val="18"/>
          <w:szCs w:val="18"/>
        </w:rPr>
        <w:t xml:space="preserve">CC BY-SA 4.0  |  The sun shines for everyone  |  https://hdbasura25-oss.github.io/Hijosdelabasura/</w:t>
      </w:r>
    </w:p>
    <w:p>
      <w:pPr>
        <w:spacing w:after="0" w:before="0"/>
        <w:jc w:val="center"/>
      </w:pPr>
      <w:r>
        <w:rPr>
          <w:rFonts w:ascii="Arial" w:cs="Arial" w:eastAsia="Arial" w:hAnsi="Arial"/>
          <w:i/>
          <w:iCs/>
          <w:color w:val="888888"/>
          <w:sz w:val="18"/>
          <w:szCs w:val="18"/>
        </w:rPr>
        <w:t xml:space="preserve">For review: IAEA  |  ITER Organization  |  INVAP  |  CNEA Argentina  |  Sandia National Laboratories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2026-05-19T20:59:05.923Z</dcterms:created>
  <dcterms:modified xsi:type="dcterms:W3CDTF">2026-05-19T20:59:05.935Z</dcterms:modified>
</cp:coreProperties>
</file>

<file path=docProps/custom.xml><?xml version="1.0" encoding="utf-8"?>
<Properties xmlns="http://schemas.openxmlformats.org/officeDocument/2006/custom-properties" xmlns:vt="http://schemas.openxmlformats.org/officeDocument/2006/docPropsVTypes"/>
</file>