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0"/>
        <w:jc w:val="center"/>
      </w:pPr>
      <w:r>
        <w:rPr>
          <w:rFonts w:ascii="Arial" w:cs="Arial" w:eastAsia="Arial" w:hAnsi="Arial"/>
          <w:b/>
          <w:bCs/>
          <w:caps/>
          <w:color w:val="1A1A2E"/>
          <w:sz w:val="28"/>
          <w:szCs w:val="28"/>
        </w:rPr>
        <w:t xml:space="preserve">HIJOS DEL SOL Y LA BASURA</w:t>
      </w:r>
    </w:p>
    <w:p>
      <w:pPr>
        <w:spacing w:after="60"/>
        <w:jc w:val="center"/>
      </w:pPr>
      <w:r>
        <w:rPr>
          <w:rFonts w:ascii="Arial" w:cs="Arial" w:eastAsia="Arial" w:hAnsi="Arial"/>
          <w:i/>
          <w:iCs/>
          <w:color w:val="444466"/>
          <w:sz w:val="22"/>
          <w:szCs w:val="22"/>
        </w:rPr>
        <w:t xml:space="preserve">Fundación  ·  Córdoba, Argentina  ·  2026</w:t>
      </w:r>
    </w:p>
    <w:p>
      <w:pPr>
        <w:pBdr>
          <w:bottom w:val="single" w:color="1A4A7A" w:sz="4" w:space="1"/>
        </w:pBdr>
        <w:spacing w:after="200" w:before="200"/>
      </w:pPr>
    </w:p>
    <w:p>
      <w:pPr>
        <w:spacing w:after="120" w:before="200"/>
        <w:jc w:val="center"/>
      </w:pPr>
      <w:r>
        <w:rPr>
          <w:rFonts w:ascii="Arial" w:cs="Arial" w:eastAsia="Arial" w:hAnsi="Arial"/>
          <w:b/>
          <w:bCs/>
          <w:color w:val="1A1A2E"/>
          <w:sz w:val="44"/>
          <w:szCs w:val="44"/>
        </w:rPr>
        <w:t xml:space="preserve">Sistemas Sociales Disipativos y Economía Disipativa</w:t>
      </w:r>
    </w:p>
    <w:p>
      <w:pPr>
        <w:spacing w:after="120"/>
        <w:jc w:val="center"/>
      </w:pPr>
      <w:r>
        <w:rPr>
          <w:rFonts w:ascii="Arial" w:cs="Arial" w:eastAsia="Arial" w:hAnsi="Arial"/>
          <w:i/>
          <w:iCs/>
          <w:color w:val="1A4A7A"/>
          <w:sz w:val="26"/>
          <w:szCs w:val="26"/>
        </w:rPr>
        <w:t xml:space="preserve">Un Marco Termodinámico para el Análisis, la Estabilización e Intervención en Sistemas Sociales Complejos</w:t>
      </w:r>
    </w:p>
    <w:p>
      <w:pPr>
        <w:spacing w:after="80" w:before="200"/>
        <w:jc w:val="center"/>
      </w:pPr>
      <w:r>
        <w:rPr>
          <w:rFonts w:ascii="Arial" w:cs="Arial" w:eastAsia="Arial" w:hAnsi="Arial"/>
          <w:b/>
          <w:bCs/>
          <w:color w:val="1A1A2E"/>
          <w:sz w:val="24"/>
          <w:szCs w:val="24"/>
        </w:rPr>
        <w:t xml:space="preserve">Hernán Diego Herrero</w:t>
      </w:r>
    </w:p>
    <w:p>
      <w:pPr>
        <w:spacing w:after="60"/>
        <w:jc w:val="center"/>
      </w:pPr>
      <w:r>
        <w:rPr>
          <w:rFonts w:ascii="Arial" w:cs="Arial" w:eastAsia="Arial" w:hAnsi="Arial"/>
          <w:color w:val="444466"/>
          <w:sz w:val="21"/>
          <w:szCs w:val="21"/>
        </w:rPr>
        <w:t xml:space="preserve">Fundación Hijos del Sol y la Basura  ·  Córdoba, Argentina</w:t>
      </w:r>
    </w:p>
    <w:p>
      <w:pPr>
        <w:spacing w:after="60"/>
        <w:jc w:val="center"/>
      </w:pPr>
      <w:r>
        <w:rPr>
          <w:rFonts w:ascii="Arial" w:cs="Arial" w:eastAsia="Arial" w:hAnsi="Arial"/>
          <w:color w:val="444466"/>
          <w:sz w:val="21"/>
          <w:szCs w:val="21"/>
        </w:rPr>
        <w:t xml:space="preserve">Abril 2026  ·  CC BY-SA 4.0</w:t>
      </w:r>
    </w:p>
    <w:p>
      <w:pPr>
        <w:spacing w:after="60"/>
        <w:jc w:val="center"/>
      </w:pPr>
      <w:r>
        <w:rPr>
          <w:rFonts w:ascii="Arial" w:cs="Arial" w:eastAsia="Arial" w:hAnsi="Arial"/>
          <w:color w:val="2E6DA4"/>
          <w:sz w:val="21"/>
          <w:szCs w:val="21"/>
        </w:rPr>
        <w:t xml:space="preserve">hdbasura25-oss.github.io/Hijosdelabasura</w:t>
      </w:r>
    </w:p>
    <w:p>
      <w:pPr>
        <w:pBdr>
          <w:bottom w:val="single" w:color="1A4A7A" w:sz="4" w:space="1"/>
        </w:pBdr>
        <w:spacing w:after="200" w:before="200"/>
      </w:pPr>
    </w:p>
    <w:p>
      <w:pPr>
        <w:pBdr>
          <w:left w:val="single" w:color="1A4A7A" w:sz="6" w:space="8"/>
        </w:pBdr>
        <w:spacing w:after="160" w:before="160"/>
        <w:ind w:left="480" w:right="480"/>
        <w:jc w:val="center"/>
      </w:pPr>
      <w:r>
        <w:rPr>
          <w:rFonts w:ascii="Arial" w:cs="Arial" w:eastAsia="Arial" w:hAnsi="Arial"/>
          <w:b/>
          <w:bCs/>
          <w:i/>
          <w:iCs/>
          <w:color w:val="2E4A6E"/>
          <w:sz w:val="21"/>
          <w:szCs w:val="21"/>
        </w:rPr>
        <w:t xml:space="preserve">La turbulencia social no es una propiedad de la naturaleza humana.
Es una respuesta emergente al desequilibrio del gradiente energético.</w:t>
      </w:r>
    </w:p>
    <w:p>
      <w:pPr>
        <w:pBdr>
          <w:left w:val="single" w:color="1A4A7A" w:sz="6" w:space="8"/>
        </w:pBdr>
        <w:spacing w:after="160" w:before="160"/>
        <w:ind w:left="480" w:right="480"/>
        <w:jc w:val="center"/>
      </w:pPr>
      <w:r>
        <w:rPr>
          <w:rFonts w:ascii="Arial" w:cs="Arial" w:eastAsia="Arial" w:hAnsi="Arial"/>
          <w:b/>
          <w:bCs/>
          <w:i/>
          <w:iCs/>
          <w:color w:val="2E4A6E"/>
          <w:sz w:val="21"/>
          <w:szCs w:val="21"/>
        </w:rPr>
        <w:t xml:space="preserve">Sin mano de obra desocupada la guerra se vuelve insostenible.
La herramienta es el arma de paz más eficiente que existe.</w:t>
      </w:r>
    </w:p>
    <w:p>
      <w:r>
        <w:br w:type="page"/>
      </w:r>
    </w:p>
    <w:p>
      <w:pPr>
        <w:pStyle w:val="Heading1"/>
        <w:spacing w:after="180" w:before="400"/>
      </w:pPr>
      <w:r>
        <w:rPr>
          <w:rFonts w:ascii="Arial" w:cs="Arial" w:eastAsia="Arial" w:hAnsi="Arial"/>
          <w:b/>
          <w:bCs/>
          <w:color w:val="1A1A2E"/>
          <w:sz w:val="30"/>
          <w:szCs w:val="30"/>
        </w:rPr>
        <w:t xml:space="preserve">Resumen</w:t>
      </w:r>
    </w:p>
    <w:p>
      <w:pPr>
        <w:spacing w:after="120" w:before="60" w:line="276"/>
        <w:jc w:val="both"/>
      </w:pPr>
      <w:r>
        <w:rPr>
          <w:rFonts w:ascii="Arial" w:cs="Arial" w:eastAsia="Arial" w:hAnsi="Arial"/>
          <w:color w:val="1A1A2E"/>
          <w:sz w:val="21"/>
          <w:szCs w:val="21"/>
        </w:rPr>
        <w:t xml:space="preserve">Los sistemas sociales complejos son analizados convencionalmente a través de marcos económicos, políticos y sociológicos que asumen el comportamiento humano como la variable independiente. Este trabajo propone una fundación alternativa: los sistemas sociales son sistemas físicos disipativos gobernados por las mismas leyes termodinámicas que regulan la dinámica atmosférica, las corrientes oceánicas y las reacciones químicas lejos del equilibrio.</w:t>
      </w:r>
    </w:p>
    <w:p>
      <w:pPr>
        <w:spacing w:after="120" w:before="60" w:line="276"/>
        <w:jc w:val="both"/>
      </w:pPr>
      <w:r>
        <w:rPr>
          <w:rFonts w:ascii="Arial" w:cs="Arial" w:eastAsia="Arial" w:hAnsi="Arial"/>
          <w:color w:val="1A1A2E"/>
          <w:sz w:val="21"/>
          <w:szCs w:val="21"/>
        </w:rPr>
        <w:t xml:space="preserve">Introducimos el Número de Reynolds Social como indicador medible de la transición entre flujo laminar (sociedades cooperativas y estables) y flujo turbulento (conflicto, corrupción sistémica, colapso institucional). Demostramos que la turbulencia social no es una propiedad de la naturaleza humana sino una respuesta emergente a los desequilibrios del gradiente energético.</w:t>
      </w:r>
    </w:p>
    <w:p>
      <w:pPr>
        <w:spacing w:after="120" w:before="60" w:line="276"/>
        <w:jc w:val="both"/>
      </w:pPr>
      <w:r>
        <w:rPr>
          <w:rFonts w:ascii="Arial" w:cs="Arial" w:eastAsia="Arial" w:hAnsi="Arial"/>
          <w:color w:val="1A1A2E"/>
          <w:sz w:val="21"/>
          <w:szCs w:val="21"/>
        </w:rPr>
        <w:t xml:space="preserve">El modelo genera siete predicciones falsables contrastables con conjuntos de datos empíricos existentes. Propone además que la distribución global de recursos no es un imperativo ético sino una necesidad termodinámica para la estabilización sistémica.</w:t>
      </w:r>
    </w:p>
    <w:p>
      <w:pPr>
        <w:spacing w:after="120" w:before="60" w:line="276"/>
        <w:jc w:val="both"/>
      </w:pPr>
      <w:r>
        <w:rPr>
          <w:rFonts w:ascii="Arial" w:cs="Arial" w:eastAsia="Arial" w:hAnsi="Arial"/>
          <w:color w:val="1A1A2E"/>
          <w:sz w:val="21"/>
          <w:szCs w:val="21"/>
        </w:rPr>
        <w:t xml:space="preserve">La segunda parte del trabajo deriva del marco teórico un mecanismo de intervención concreto: la Inyección Disipativa Distribuida (IDD). La IDD no transfiere recursos consumibles sino capacidad productiva autónoma — herramientas, tierra y tecnología replicable — como la única intervención que modifica estructuralmente el gradiente energético. La Nueva Misión Tecnológica se propone como vector operacional de la IDD, actualizando el modelo histórico de las reducciones jesuíticas con tecnología open source y arquitectura distribuida.</w:t>
      </w:r>
    </w:p>
    <w:p>
      <w:pPr>
        <w:spacing w:after="120" w:before="60" w:line="276"/>
        <w:jc w:val="both"/>
      </w:pPr>
      <w:r>
        <w:rPr>
          <w:rFonts w:ascii="Arial" w:cs="Arial" w:eastAsia="Arial" w:hAnsi="Arial"/>
          <w:color w:val="1A1A2E"/>
          <w:sz w:val="21"/>
          <w:szCs w:val="21"/>
        </w:rPr>
        <w:t xml:space="preserve">El conjunto constituye los fundamentos de la Economía Disipativa como escuela teórica independiente, diferenciada de la Termoeconomía, la Economía Ecológica y la Economía de la Complejidad.</w:t>
      </w:r>
    </w:p>
    <w:p>
      <w:pPr>
        <w:spacing w:after="120" w:before="60" w:line="276"/>
        <w:jc w:val="both"/>
      </w:pPr>
      <w:r>
        <w:rPr>
          <w:rFonts w:ascii="Arial" w:cs="Arial" w:eastAsia="Arial" w:hAnsi="Arial"/>
          <w:color w:val="1A1A2E"/>
          <w:sz w:val="21"/>
          <w:szCs w:val="21"/>
        </w:rPr>
        <w:t xml:space="preserve">Este marco constituye la dimensión social de la teoría del Cosmos Vector Fractal [14], que identifica un único principio disipativo operando desde escalas biológicas hasta civilizatorias.</w:t>
      </w:r>
    </w:p>
    <w:p>
      <w:pPr>
        <w:spacing w:after="120" w:before="60"/>
      </w:pPr>
      <w:r>
        <w:rPr>
          <w:rFonts w:ascii="Arial" w:cs="Arial" w:eastAsia="Arial" w:hAnsi="Arial"/>
          <w:b/>
          <w:bCs/>
          <w:color w:val="1A1A2E"/>
          <w:sz w:val="21"/>
          <w:szCs w:val="21"/>
        </w:rPr>
        <w:t xml:space="preserve">Palabras clave: </w:t>
      </w:r>
      <w:r>
        <w:rPr>
          <w:rFonts w:ascii="Arial" w:cs="Arial" w:eastAsia="Arial" w:hAnsi="Arial"/>
          <w:i/>
          <w:iCs/>
          <w:color w:val="444466"/>
          <w:sz w:val="21"/>
          <w:szCs w:val="21"/>
        </w:rPr>
        <w:t xml:space="preserve">sistemas disipativos · termodinámica social · número de Reynolds · Inyección Disipativa Distribuida · IDD · pobreza · conflicto armado · tecnología open source · Nueva Misión Tecnológica · Economía Disipativa · Cosmos Vector Fractal</w:t>
      </w:r>
    </w:p>
    <w:p>
      <w:r>
        <w:br w:type="page"/>
      </w:r>
    </w:p>
    <w:p>
      <w:pPr>
        <w:spacing w:after="200" w:before="200"/>
        <w:jc w:val="center"/>
      </w:pPr>
      <w:r>
        <w:rPr>
          <w:rFonts w:ascii="Arial" w:cs="Arial" w:eastAsia="Arial" w:hAnsi="Arial"/>
          <w:b/>
          <w:bCs/>
          <w:color w:val="FFFFFF"/>
          <w:sz w:val="32"/>
          <w:szCs w:val="32"/>
          <w:shd w:fill="1A1A2E" w:val="clear"/>
        </w:rPr>
        <w:t xml:space="preserve">PARTE I — MARCO TEÓRICO</w:t>
      </w:r>
    </w:p>
    <w:p>
      <w:r>
        <w:br w:type="page"/>
      </w:r>
    </w:p>
    <w:p>
      <w:pPr>
        <w:pStyle w:val="Heading1"/>
        <w:spacing w:after="180" w:before="400"/>
      </w:pPr>
      <w:r>
        <w:rPr>
          <w:rFonts w:ascii="Arial" w:cs="Arial" w:eastAsia="Arial" w:hAnsi="Arial"/>
          <w:b/>
          <w:bCs/>
          <w:color w:val="1A1A2E"/>
          <w:sz w:val="30"/>
          <w:szCs w:val="30"/>
        </w:rPr>
        <w:t xml:space="preserve">1. Marco Teórico</w:t>
      </w:r>
    </w:p>
    <w:p>
      <w:pPr>
        <w:pStyle w:val="Heading2"/>
        <w:spacing w:after="130" w:before="260"/>
      </w:pPr>
      <w:r>
        <w:rPr>
          <w:rFonts w:ascii="Arial" w:cs="Arial" w:eastAsia="Arial" w:hAnsi="Arial"/>
          <w:b/>
          <w:bCs/>
          <w:color w:val="16213E"/>
          <w:sz w:val="24"/>
          <w:szCs w:val="24"/>
        </w:rPr>
        <w:t xml:space="preserve">1.1 Sistemas Disipativos y la Segunda Ley</w:t>
      </w:r>
    </w:p>
    <w:p>
      <w:pPr>
        <w:spacing w:after="120" w:before="60" w:line="276"/>
        <w:jc w:val="both"/>
      </w:pPr>
      <w:r>
        <w:rPr>
          <w:rFonts w:ascii="Arial" w:cs="Arial" w:eastAsia="Arial" w:hAnsi="Arial"/>
          <w:color w:val="1A1A2E"/>
          <w:sz w:val="21"/>
          <w:szCs w:val="21"/>
        </w:rPr>
        <w:t xml:space="preserve">La termodinámica clásica describe sistemas cerrados que tienden hacia la entropía máxima: el estado de mínima diferenciación energética y máximo desorden. Sin embargo, la mayoría de los sistemas físicamente relevantes, incluyendo los organismos vivos, las atmósferas planetarias y las corrientes oceánicas, operan como sistemas disipativos abiertos: mantienen estructuras ordenadas de baja entropía intercambiando continuamente energía con su entorno [1].</w:t>
      </w:r>
    </w:p>
    <w:p>
      <w:pPr>
        <w:spacing w:after="120" w:before="60" w:line="276"/>
        <w:jc w:val="both"/>
      </w:pPr>
      <w:r>
        <w:rPr>
          <w:rFonts w:ascii="Arial" w:cs="Arial" w:eastAsia="Arial" w:hAnsi="Arial"/>
          <w:color w:val="1A1A2E"/>
          <w:sz w:val="21"/>
          <w:szCs w:val="21"/>
        </w:rPr>
        <w:t xml:space="preserve">Ilya Prigogine demostró que los sistemas lejos del equilibrio termodinámico pueden generar espontáneamente estructuras ordenadas estables —estructuras disipativas— sostenidas exclusivamente por un flujo continuo de energía [2]. La estabilidad de estas estructuras no es estática sino dinámica: el orden se mantiene precisamente porque el sistema no reposa.</w:t>
      </w:r>
    </w:p>
    <w:p>
      <w:pPr>
        <w:pBdr>
          <w:left w:val="single" w:color="1A4A7A" w:sz="6" w:space="8"/>
        </w:pBdr>
        <w:spacing w:after="160" w:before="160"/>
        <w:ind w:left="480" w:right="480"/>
        <w:jc w:val="center"/>
      </w:pPr>
      <w:r>
        <w:rPr>
          <w:rFonts w:ascii="Arial" w:cs="Arial" w:eastAsia="Arial" w:hAnsi="Arial"/>
          <w:b/>
          <w:bCs/>
          <w:i/>
          <w:iCs/>
          <w:color w:val="2E4A6E"/>
          <w:sz w:val="21"/>
          <w:szCs w:val="21"/>
        </w:rPr>
        <w:t xml:space="preserve">El equilibrio termodinámico en un sistema vivo o complejo no significa inmovilidad. Significa flujo energético sostenido y dirigido.</w:t>
      </w:r>
    </w:p>
    <w:p>
      <w:pPr>
        <w:pStyle w:val="Heading2"/>
        <w:spacing w:after="130" w:before="260"/>
      </w:pPr>
      <w:r>
        <w:rPr>
          <w:rFonts w:ascii="Arial" w:cs="Arial" w:eastAsia="Arial" w:hAnsi="Arial"/>
          <w:b/>
          <w:bCs/>
          <w:color w:val="16213E"/>
          <w:sz w:val="24"/>
          <w:szCs w:val="24"/>
        </w:rPr>
        <w:t xml:space="preserve">1.2 Flujo Laminar, Flujo Turbulento y el Número de Reynolds</w:t>
      </w:r>
    </w:p>
    <w:p>
      <w:pPr>
        <w:spacing w:after="120" w:before="60" w:line="276"/>
        <w:jc w:val="both"/>
      </w:pPr>
      <w:r>
        <w:rPr>
          <w:rFonts w:ascii="Arial" w:cs="Arial" w:eastAsia="Arial" w:hAnsi="Arial"/>
          <w:color w:val="1A1A2E"/>
          <w:sz w:val="21"/>
          <w:szCs w:val="21"/>
        </w:rPr>
        <w:t xml:space="preserve">La dinámica de fluidos distingue dos regímenes fundamentales. En el flujo laminar, las capas del fluido se mueven en trayectorias paralelas ordenadas, la energía se convierte eficientemente en trabajo direccional y el sistema mantiene coherencia estructural. En el flujo turbulento, las partículas colisionan, forman vórtices y la energía se disipa como fricción interna: calor sin trabajo útil [3].</w:t>
      </w:r>
    </w:p>
    <w:p>
      <w:pPr>
        <w:spacing w:after="120" w:before="60" w:line="276"/>
        <w:jc w:val="both"/>
      </w:pPr>
      <w:r>
        <w:rPr>
          <w:rFonts w:ascii="Arial" w:cs="Arial" w:eastAsia="Arial" w:hAnsi="Arial"/>
          <w:color w:val="1A1A2E"/>
          <w:sz w:val="21"/>
          <w:szCs w:val="21"/>
        </w:rPr>
        <w:t xml:space="preserve">La transición entre regímenes está gobernada por el Número de Reynolds (Re): ρ · v · L / μ — donde ρ es la densidad del fluido, v la velocidad de flujo, L la longitud característica y μ la viscosidad dinámica. Por debajo de un umbral crítico el flujo es laminar. Por encima, la turbulencia emerge: no gradualmente, sino como una transición de fase.</w:t>
      </w:r>
    </w:p>
    <w:p>
      <w:pPr>
        <w:pBdr>
          <w:left w:val="single" w:color="1A4A7A" w:sz="6" w:space="8"/>
        </w:pBdr>
        <w:spacing w:after="160" w:before="160"/>
        <w:ind w:left="480" w:right="480"/>
        <w:jc w:val="center"/>
      </w:pPr>
      <w:r>
        <w:rPr>
          <w:rFonts w:ascii="Arial" w:cs="Arial" w:eastAsia="Arial" w:hAnsi="Arial"/>
          <w:b/>
          <w:bCs/>
          <w:i/>
          <w:iCs/>
          <w:color w:val="2E4A6E"/>
          <w:sz w:val="21"/>
          <w:szCs w:val="21"/>
        </w:rPr>
        <w:t xml:space="preserve">La turbulencia no es una propiedad del fluido. Es una propiedad emergente de la configuración energética del sistema.</w:t>
      </w:r>
    </w:p>
    <w:p>
      <w:pPr>
        <w:pStyle w:val="Heading2"/>
        <w:spacing w:after="130" w:before="260"/>
      </w:pPr>
      <w:r>
        <w:rPr>
          <w:rFonts w:ascii="Arial" w:cs="Arial" w:eastAsia="Arial" w:hAnsi="Arial"/>
          <w:b/>
          <w:bCs/>
          <w:color w:val="16213E"/>
          <w:sz w:val="24"/>
          <w:szCs w:val="24"/>
        </w:rPr>
        <w:t xml:space="preserve">1.3 Transiciones de Fase y Umbrales Críticos</w:t>
      </w:r>
    </w:p>
    <w:p>
      <w:pPr>
        <w:spacing w:after="120" w:before="60" w:line="276"/>
        <w:jc w:val="both"/>
      </w:pPr>
      <w:r>
        <w:rPr>
          <w:rFonts w:ascii="Arial" w:cs="Arial" w:eastAsia="Arial" w:hAnsi="Arial"/>
          <w:color w:val="1A1A2E"/>
          <w:sz w:val="21"/>
          <w:szCs w:val="21"/>
        </w:rPr>
        <w:t xml:space="preserve">Las transiciones de fase termodinámicas comparten una característica universal: el sistema puede absorber grandes cantidades de energía sin cambio aparente hasta que se cruza un umbral crítico y la transición ocurre rápida y completamente [4]. No existe agua parcialmente evaporada. Existe líquido y existe vapor.</w:t>
      </w:r>
    </w:p>
    <w:p>
      <w:pPr>
        <w:spacing w:after="120" w:before="60" w:line="276"/>
        <w:jc w:val="both"/>
      </w:pPr>
      <w:r>
        <w:rPr>
          <w:rFonts w:ascii="Arial" w:cs="Arial" w:eastAsia="Arial" w:hAnsi="Arial"/>
          <w:color w:val="1A1A2E"/>
          <w:sz w:val="21"/>
          <w:szCs w:val="21"/>
        </w:rPr>
        <w:t xml:space="preserve">Este comportamiento —acumulación gradual seguida de transición abrupta— es una firma universal de los sistemas complejos en umbrales críticos, independiente del sustrato físico específico.</w:t>
      </w:r>
    </w:p>
    <w:p>
      <w:pPr>
        <w:pStyle w:val="Heading1"/>
        <w:spacing w:after="180" w:before="400"/>
      </w:pPr>
      <w:r>
        <w:rPr>
          <w:rFonts w:ascii="Arial" w:cs="Arial" w:eastAsia="Arial" w:hAnsi="Arial"/>
          <w:b/>
          <w:bCs/>
          <w:color w:val="1A1A2E"/>
          <w:sz w:val="30"/>
          <w:szCs w:val="30"/>
        </w:rPr>
        <w:t xml:space="preserve">2. El Modelo Termodinámico Social</w:t>
      </w:r>
    </w:p>
    <w:p>
      <w:pPr>
        <w:pStyle w:val="Heading2"/>
        <w:spacing w:after="130" w:before="260"/>
      </w:pPr>
      <w:r>
        <w:rPr>
          <w:rFonts w:ascii="Arial" w:cs="Arial" w:eastAsia="Arial" w:hAnsi="Arial"/>
          <w:b/>
          <w:bCs/>
          <w:color w:val="16213E"/>
          <w:sz w:val="24"/>
          <w:szCs w:val="24"/>
        </w:rPr>
        <w:t xml:space="preserve">2.1 La Sociedad como Sistema Disipativo</w:t>
      </w:r>
    </w:p>
    <w:p>
      <w:pPr>
        <w:spacing w:after="120" w:before="60" w:line="276"/>
        <w:jc w:val="both"/>
      </w:pPr>
      <w:r>
        <w:rPr>
          <w:rFonts w:ascii="Arial" w:cs="Arial" w:eastAsia="Arial" w:hAnsi="Arial"/>
          <w:color w:val="1A1A2E"/>
          <w:sz w:val="21"/>
          <w:szCs w:val="21"/>
        </w:rPr>
        <w:t xml:space="preserve">Una sociedad humana satisface todas las condiciones definitorias de un sistema disipativo en el sentido de Prigogine [5]. Es un sistema abierto que intercambia continuamente energía, materia e información con su entorno. Mantiene estructuras ordenadas —instituciones, infraestructura, redes de conocimiento— exclusivamente a través de un flujo energético sostenido. O mantiene orden dinámico mediante flujo energético dirigido, o se degrada hacia estados de alta entropía: colapso institucional, conflicto y pobreza.</w:t>
      </w:r>
    </w:p>
    <w:p>
      <w:pPr>
        <w:spacing w:after="120" w:before="60" w:line="276"/>
        <w:jc w:val="both"/>
      </w:pPr>
      <w:r>
        <w:rPr>
          <w:rFonts w:ascii="Arial" w:cs="Arial" w:eastAsia="Arial" w:hAnsi="Arial"/>
          <w:color w:val="1A1A2E"/>
          <w:sz w:val="21"/>
          <w:szCs w:val="21"/>
        </w:rPr>
        <w:t xml:space="preserve">El error epistemológico central de las ciencias sociales convencionales es tratar a la sociedad como un sistema que tiende al equilibrio en sentido clásico. Esta suposición viola la naturaleza termodinámica del sistema que se intenta modelar.</w:t>
      </w:r>
    </w:p>
    <w:p>
      <w:pPr>
        <w:pStyle w:val="Heading2"/>
        <w:spacing w:after="130" w:before="260"/>
      </w:pPr>
      <w:r>
        <w:rPr>
          <w:rFonts w:ascii="Arial" w:cs="Arial" w:eastAsia="Arial" w:hAnsi="Arial"/>
          <w:b/>
          <w:bCs/>
          <w:color w:val="16213E"/>
          <w:sz w:val="24"/>
          <w:szCs w:val="24"/>
        </w:rPr>
        <w:t xml:space="preserve">2.2 El Gradiente Energético como Variable Primaria</w:t>
      </w:r>
    </w:p>
    <w:p>
      <w:pPr>
        <w:spacing w:after="120" w:before="60" w:line="276"/>
        <w:jc w:val="both"/>
      </w:pPr>
      <w:r>
        <w:rPr>
          <w:rFonts w:ascii="Arial" w:cs="Arial" w:eastAsia="Arial" w:hAnsi="Arial"/>
          <w:color w:val="1A1A2E"/>
          <w:sz w:val="21"/>
          <w:szCs w:val="21"/>
        </w:rPr>
        <w:t xml:space="preserve">Proponemos que la desigualdad económica constituye el análogo social directo del gradiente energético termodinámico. Donde los gradientes son extremos, los flujos se vuelven violentos y turbulentos. Donde son moderados y distribuidos, los flujos son laminares y productivos [3].</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AACCDD" w:sz="1"/>
              <w:left w:val="single" w:color="AACCDD" w:sz="1"/>
              <w:bottom w:val="single" w:color="AACCDD" w:sz="1"/>
              <w:right w:val="single" w:color="AACCDD" w:sz="1"/>
            </w:tcBorders>
            <w:shd w:fill="1A4A7A" w:val="clear"/>
            <w:tcMar>
              <w:top w:type="dxa" w:w="80"/>
              <w:left w:type="dxa" w:w="120"/>
              <w:bottom w:type="dxa" w:w="80"/>
              <w:right w:type="dxa" w:w="120"/>
            </w:tcMar>
          </w:tcPr>
          <w:p>
            <w:r>
              <w:rPr>
                <w:rFonts w:ascii="Arial" w:cs="Arial" w:eastAsia="Arial" w:hAnsi="Arial"/>
                <w:b/>
                <w:bCs/>
                <w:color w:val="FFFFFF"/>
                <w:sz w:val="19"/>
                <w:szCs w:val="19"/>
              </w:rPr>
              <w:t xml:space="preserve">Sistema físico</w:t>
            </w:r>
          </w:p>
        </w:tc>
        <w:tc>
          <w:tcPr>
            <w:tcW w:type="dxa" w:w="4680"/>
            <w:tcBorders>
              <w:top w:val="single" w:color="AACCDD" w:sz="1"/>
              <w:left w:val="single" w:color="AACCDD" w:sz="1"/>
              <w:bottom w:val="single" w:color="AACCDD" w:sz="1"/>
              <w:right w:val="single" w:color="AACCDD" w:sz="1"/>
            </w:tcBorders>
            <w:shd w:fill="1A4A7A" w:val="clear"/>
            <w:tcMar>
              <w:top w:type="dxa" w:w="80"/>
              <w:left w:type="dxa" w:w="120"/>
              <w:bottom w:type="dxa" w:w="80"/>
              <w:right w:type="dxa" w:w="120"/>
            </w:tcMar>
          </w:tcPr>
          <w:p>
            <w:r>
              <w:rPr>
                <w:rFonts w:ascii="Arial" w:cs="Arial" w:eastAsia="Arial" w:hAnsi="Arial"/>
                <w:b/>
                <w:bCs/>
                <w:color w:val="FFFFFF"/>
                <w:sz w:val="19"/>
                <w:szCs w:val="19"/>
              </w:rPr>
              <w:t xml:space="preserve">Sistema social</w:t>
            </w:r>
          </w:p>
        </w:tc>
      </w:tr>
      <w:tr>
        <w:tc>
          <w:tcPr>
            <w:tcW w:type="dxa" w:w="4680"/>
            <w:tcBorders>
              <w:top w:val="single" w:color="AACCDD" w:sz="1"/>
              <w:left w:val="single" w:color="AACCDD" w:sz="1"/>
              <w:bottom w:val="single" w:color="AACCDD" w:sz="1"/>
              <w:right w:val="single" w:color="AACCDD" w:sz="1"/>
            </w:tcBorders>
            <w:shd w:fill="E8F4FD" w:val="clear"/>
            <w:tcMar>
              <w:top w:type="dxa" w:w="80"/>
              <w:left w:type="dxa" w:w="120"/>
              <w:bottom w:type="dxa" w:w="80"/>
              <w:right w:type="dxa" w:w="120"/>
            </w:tcMar>
          </w:tcPr>
          <w:p>
            <w:r>
              <w:rPr>
                <w:rFonts w:ascii="Arial" w:cs="Arial" w:eastAsia="Arial" w:hAnsi="Arial"/>
                <w:color w:val="1A1A2E"/>
                <w:sz w:val="19"/>
                <w:szCs w:val="19"/>
              </w:rPr>
              <w:t xml:space="preserve">Gradiente térmico</w:t>
            </w:r>
          </w:p>
        </w:tc>
        <w:tc>
          <w:tcPr>
            <w:tcW w:type="dxa" w:w="4680"/>
            <w:tcBorders>
              <w:top w:val="single" w:color="AACCDD" w:sz="1"/>
              <w:left w:val="single" w:color="AACCDD" w:sz="1"/>
              <w:bottom w:val="single" w:color="AACCDD" w:sz="1"/>
              <w:right w:val="single" w:color="AACCDD" w:sz="1"/>
            </w:tcBorders>
            <w:shd w:fill="E8F4FD" w:val="clear"/>
            <w:tcMar>
              <w:top w:type="dxa" w:w="80"/>
              <w:left w:type="dxa" w:w="120"/>
              <w:bottom w:type="dxa" w:w="80"/>
              <w:right w:type="dxa" w:w="120"/>
            </w:tcMar>
          </w:tcPr>
          <w:p>
            <w:r>
              <w:rPr>
                <w:rFonts w:ascii="Arial" w:cs="Arial" w:eastAsia="Arial" w:hAnsi="Arial"/>
                <w:color w:val="1A1A2E"/>
                <w:sz w:val="19"/>
                <w:szCs w:val="19"/>
              </w:rPr>
              <w:t xml:space="preserve">Desigualdad económica</w:t>
            </w:r>
          </w:p>
        </w:tc>
      </w:tr>
      <w:tr>
        <w:tc>
          <w:tcPr>
            <w:tcW w:type="dxa" w:w="468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Diferencial de presión</w:t>
            </w:r>
          </w:p>
        </w:tc>
        <w:tc>
          <w:tcPr>
            <w:tcW w:type="dxa" w:w="468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Concentración de poder político</w:t>
            </w:r>
          </w:p>
        </w:tc>
      </w:tr>
      <w:tr>
        <w:tc>
          <w:tcPr>
            <w:tcW w:type="dxa" w:w="4680"/>
            <w:tcBorders>
              <w:top w:val="single" w:color="AACCDD" w:sz="1"/>
              <w:left w:val="single" w:color="AACCDD" w:sz="1"/>
              <w:bottom w:val="single" w:color="AACCDD" w:sz="1"/>
              <w:right w:val="single" w:color="AACCDD" w:sz="1"/>
            </w:tcBorders>
            <w:shd w:fill="E8F4FD" w:val="clear"/>
            <w:tcMar>
              <w:top w:type="dxa" w:w="80"/>
              <w:left w:type="dxa" w:w="120"/>
              <w:bottom w:type="dxa" w:w="80"/>
              <w:right w:type="dxa" w:w="120"/>
            </w:tcMar>
          </w:tcPr>
          <w:p>
            <w:r>
              <w:rPr>
                <w:rFonts w:ascii="Arial" w:cs="Arial" w:eastAsia="Arial" w:hAnsi="Arial"/>
                <w:color w:val="1A1A2E"/>
                <w:sz w:val="19"/>
                <w:szCs w:val="19"/>
              </w:rPr>
              <w:t xml:space="preserve">Viscosidad</w:t>
            </w:r>
          </w:p>
        </w:tc>
        <w:tc>
          <w:tcPr>
            <w:tcW w:type="dxa" w:w="4680"/>
            <w:tcBorders>
              <w:top w:val="single" w:color="AACCDD" w:sz="1"/>
              <w:left w:val="single" w:color="AACCDD" w:sz="1"/>
              <w:bottom w:val="single" w:color="AACCDD" w:sz="1"/>
              <w:right w:val="single" w:color="AACCDD" w:sz="1"/>
            </w:tcBorders>
            <w:shd w:fill="E8F4FD" w:val="clear"/>
            <w:tcMar>
              <w:top w:type="dxa" w:w="80"/>
              <w:left w:type="dxa" w:w="120"/>
              <w:bottom w:type="dxa" w:w="80"/>
              <w:right w:type="dxa" w:w="120"/>
            </w:tcMar>
          </w:tcPr>
          <w:p>
            <w:r>
              <w:rPr>
                <w:rFonts w:ascii="Arial" w:cs="Arial" w:eastAsia="Arial" w:hAnsi="Arial"/>
                <w:color w:val="1A1A2E"/>
                <w:sz w:val="19"/>
                <w:szCs w:val="19"/>
              </w:rPr>
              <w:t xml:space="preserve">Calidad institucional</w:t>
            </w:r>
          </w:p>
        </w:tc>
      </w:tr>
      <w:tr>
        <w:tc>
          <w:tcPr>
            <w:tcW w:type="dxa" w:w="468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Fricción interna</w:t>
            </w:r>
          </w:p>
        </w:tc>
        <w:tc>
          <w:tcPr>
            <w:tcW w:type="dxa" w:w="468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Corrupción y burocracia improductiva</w:t>
            </w:r>
          </w:p>
        </w:tc>
      </w:tr>
      <w:tr>
        <w:tc>
          <w:tcPr>
            <w:tcW w:type="dxa" w:w="4680"/>
            <w:tcBorders>
              <w:top w:val="single" w:color="AACCDD" w:sz="1"/>
              <w:left w:val="single" w:color="AACCDD" w:sz="1"/>
              <w:bottom w:val="single" w:color="AACCDD" w:sz="1"/>
              <w:right w:val="single" w:color="AACCDD" w:sz="1"/>
            </w:tcBorders>
            <w:shd w:fill="E8F4FD" w:val="clear"/>
            <w:tcMar>
              <w:top w:type="dxa" w:w="80"/>
              <w:left w:type="dxa" w:w="120"/>
              <w:bottom w:type="dxa" w:w="80"/>
              <w:right w:type="dxa" w:w="120"/>
            </w:tcMar>
          </w:tcPr>
          <w:p>
            <w:r>
              <w:rPr>
                <w:rFonts w:ascii="Arial" w:cs="Arial" w:eastAsia="Arial" w:hAnsi="Arial"/>
                <w:color w:val="1A1A2E"/>
                <w:sz w:val="19"/>
                <w:szCs w:val="19"/>
              </w:rPr>
              <w:t xml:space="preserve">Disipación energética</w:t>
            </w:r>
          </w:p>
        </w:tc>
        <w:tc>
          <w:tcPr>
            <w:tcW w:type="dxa" w:w="4680"/>
            <w:tcBorders>
              <w:top w:val="single" w:color="AACCDD" w:sz="1"/>
              <w:left w:val="single" w:color="AACCDD" w:sz="1"/>
              <w:bottom w:val="single" w:color="AACCDD" w:sz="1"/>
              <w:right w:val="single" w:color="AACCDD" w:sz="1"/>
            </w:tcBorders>
            <w:shd w:fill="E8F4FD" w:val="clear"/>
            <w:tcMar>
              <w:top w:type="dxa" w:w="80"/>
              <w:left w:type="dxa" w:w="120"/>
              <w:bottom w:type="dxa" w:w="80"/>
              <w:right w:type="dxa" w:w="120"/>
            </w:tcMar>
          </w:tcPr>
          <w:p>
            <w:r>
              <w:rPr>
                <w:rFonts w:ascii="Arial" w:cs="Arial" w:eastAsia="Arial" w:hAnsi="Arial"/>
                <w:color w:val="1A1A2E"/>
                <w:sz w:val="19"/>
                <w:szCs w:val="19"/>
              </w:rPr>
              <w:t xml:space="preserve">Gasto militar, costos del conflicto</w:t>
            </w:r>
          </w:p>
        </w:tc>
      </w:tr>
      <w:tr>
        <w:tc>
          <w:tcPr>
            <w:tcW w:type="dxa" w:w="468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Flujo laminar</w:t>
            </w:r>
          </w:p>
        </w:tc>
        <w:tc>
          <w:tcPr>
            <w:tcW w:type="dxa" w:w="468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Sociedad cooperativa y estable</w:t>
            </w:r>
          </w:p>
        </w:tc>
      </w:tr>
      <w:tr>
        <w:tc>
          <w:tcPr>
            <w:tcW w:type="dxa" w:w="4680"/>
            <w:tcBorders>
              <w:top w:val="single" w:color="AACCDD" w:sz="1"/>
              <w:left w:val="single" w:color="AACCDD" w:sz="1"/>
              <w:bottom w:val="single" w:color="AACCDD" w:sz="1"/>
              <w:right w:val="single" w:color="AACCDD" w:sz="1"/>
            </w:tcBorders>
            <w:shd w:fill="E8F4FD" w:val="clear"/>
            <w:tcMar>
              <w:top w:type="dxa" w:w="80"/>
              <w:left w:type="dxa" w:w="120"/>
              <w:bottom w:type="dxa" w:w="80"/>
              <w:right w:type="dxa" w:w="120"/>
            </w:tcMar>
          </w:tcPr>
          <w:p>
            <w:r>
              <w:rPr>
                <w:rFonts w:ascii="Arial" w:cs="Arial" w:eastAsia="Arial" w:hAnsi="Arial"/>
                <w:color w:val="1A1A2E"/>
                <w:sz w:val="19"/>
                <w:szCs w:val="19"/>
              </w:rPr>
              <w:t xml:space="preserve">Flujo turbulento</w:t>
            </w:r>
          </w:p>
        </w:tc>
        <w:tc>
          <w:tcPr>
            <w:tcW w:type="dxa" w:w="4680"/>
            <w:tcBorders>
              <w:top w:val="single" w:color="AACCDD" w:sz="1"/>
              <w:left w:val="single" w:color="AACCDD" w:sz="1"/>
              <w:bottom w:val="single" w:color="AACCDD" w:sz="1"/>
              <w:right w:val="single" w:color="AACCDD" w:sz="1"/>
            </w:tcBorders>
            <w:shd w:fill="E8F4FD" w:val="clear"/>
            <w:tcMar>
              <w:top w:type="dxa" w:w="80"/>
              <w:left w:type="dxa" w:w="120"/>
              <w:bottom w:type="dxa" w:w="80"/>
              <w:right w:type="dxa" w:w="120"/>
            </w:tcMar>
          </w:tcPr>
          <w:p>
            <w:r>
              <w:rPr>
                <w:rFonts w:ascii="Arial" w:cs="Arial" w:eastAsia="Arial" w:hAnsi="Arial"/>
                <w:color w:val="1A1A2E"/>
                <w:sz w:val="19"/>
                <w:szCs w:val="19"/>
              </w:rPr>
              <w:t xml:space="preserve">Conflicto, colapso institucional</w:t>
            </w:r>
          </w:p>
        </w:tc>
      </w:tr>
      <w:tr>
        <w:tc>
          <w:tcPr>
            <w:tcW w:type="dxa" w:w="468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Transición de fase</w:t>
            </w:r>
          </w:p>
        </w:tc>
        <w:tc>
          <w:tcPr>
            <w:tcW w:type="dxa" w:w="468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Revolución, colapso sistémico</w:t>
            </w:r>
          </w:p>
        </w:tc>
      </w:tr>
    </w:tbl>
    <w:p>
      <w:pPr>
        <w:spacing w:after="80"/>
      </w:pPr>
    </w:p>
    <w:p>
      <w:pPr>
        <w:pStyle w:val="Heading2"/>
        <w:spacing w:after="130" w:before="260"/>
      </w:pPr>
      <w:r>
        <w:rPr>
          <w:rFonts w:ascii="Arial" w:cs="Arial" w:eastAsia="Arial" w:hAnsi="Arial"/>
          <w:b/>
          <w:bCs/>
          <w:color w:val="16213E"/>
          <w:sz w:val="24"/>
          <w:szCs w:val="24"/>
        </w:rPr>
        <w:t xml:space="preserve">2.3 El Número de Reynolds Social</w:t>
      </w:r>
    </w:p>
    <w:p>
      <w:pPr>
        <w:spacing w:after="120" w:before="60" w:line="276"/>
        <w:jc w:val="both"/>
      </w:pPr>
      <w:r>
        <w:rPr>
          <w:rFonts w:ascii="Arial" w:cs="Arial" w:eastAsia="Arial" w:hAnsi="Arial"/>
          <w:color w:val="1A1A2E"/>
          <w:sz w:val="21"/>
          <w:szCs w:val="21"/>
        </w:rPr>
        <w:t xml:space="preserve">Por analogía con la dinámica de fluidos, definimos el Número de Reynolds Social (Re_s) como un indicador compuesto de la proximidad de una sociedad a la transición laminar-turbulenta:</w:t>
      </w:r>
    </w:p>
    <w:p>
      <w:pPr>
        <w:pBdr>
          <w:left w:val="single" w:color="1A4A7A" w:sz="6" w:space="8"/>
        </w:pBdr>
        <w:spacing w:after="160" w:before="160"/>
        <w:ind w:left="480" w:right="480"/>
        <w:jc w:val="center"/>
      </w:pPr>
      <w:r>
        <w:rPr>
          <w:rFonts w:ascii="Arial" w:cs="Arial" w:eastAsia="Arial" w:hAnsi="Arial"/>
          <w:b/>
          <w:bCs/>
          <w:i/>
          <w:iCs/>
          <w:color w:val="2E4A6E"/>
          <w:sz w:val="21"/>
          <w:szCs w:val="21"/>
        </w:rPr>
        <w:t xml:space="preserve">Re_s = (Desigualdad · Velocidad_Institucional) / Viscosidad_Institucional</w:t>
      </w:r>
    </w:p>
    <w:p>
      <w:pPr>
        <w:spacing w:after="120" w:before="60" w:line="276"/>
        <w:jc w:val="both"/>
      </w:pPr>
      <w:r>
        <w:rPr>
          <w:rFonts w:ascii="Arial" w:cs="Arial" w:eastAsia="Arial" w:hAnsi="Arial"/>
          <w:color w:val="1A1A2E"/>
          <w:sz w:val="21"/>
          <w:szCs w:val="21"/>
        </w:rPr>
        <w:t xml:space="preserve">Una sociedad con desigualdad extrema, circulación de recursos rápida pero no regulada e instituciones débiles opera con Re_s alto: en pleno régimen turbulento. Una sociedad con gradientes moderados, flujos regulados e instituciones sólidas opera con Re_s bajo: en el régimen laminar o próximo a él. Esto no es una metáfora. Es un isomorfismo estructural entre dos clases de sistemas complejos sujetos a las mismas restricciones físicas subyacentes.</w:t>
      </w:r>
    </w:p>
    <w:p>
      <w:pPr>
        <w:pStyle w:val="Heading2"/>
        <w:spacing w:after="130" w:before="260"/>
      </w:pPr>
      <w:r>
        <w:rPr>
          <w:rFonts w:ascii="Arial" w:cs="Arial" w:eastAsia="Arial" w:hAnsi="Arial"/>
          <w:b/>
          <w:bCs/>
          <w:color w:val="16213E"/>
          <w:sz w:val="24"/>
          <w:szCs w:val="24"/>
        </w:rPr>
        <w:t xml:space="preserve">2.4 La Corrupción como Fricción Interna</w:t>
      </w:r>
    </w:p>
    <w:p>
      <w:pPr>
        <w:spacing w:after="120" w:before="60" w:line="276"/>
        <w:jc w:val="both"/>
      </w:pPr>
      <w:r>
        <w:rPr>
          <w:rFonts w:ascii="Arial" w:cs="Arial" w:eastAsia="Arial" w:hAnsi="Arial"/>
          <w:color w:val="1A1A2E"/>
          <w:sz w:val="21"/>
          <w:szCs w:val="21"/>
        </w:rPr>
        <w:t xml:space="preserve">La corrupción es el análogo social preciso de la fricción mecánica. Los recursos públicos que pasan por canales institucionales corruptos no son robados en sentido termodinámico: son degradados. Se convierten de energía dirigida de alta calidad (inversión con retorno productivo) en calor disperso de baja calidad (clientelismo, redundancia burocrática, empleo fantasma) [7].</w:t>
      </w:r>
    </w:p>
    <w:p>
      <w:pPr>
        <w:pBdr>
          <w:left w:val="single" w:color="1A4A7A" w:sz="6" w:space="8"/>
        </w:pBdr>
        <w:spacing w:after="160" w:before="160"/>
        <w:ind w:left="480" w:right="480"/>
        <w:jc w:val="center"/>
      </w:pPr>
      <w:r>
        <w:rPr>
          <w:rFonts w:ascii="Arial" w:cs="Arial" w:eastAsia="Arial" w:hAnsi="Arial"/>
          <w:b/>
          <w:bCs/>
          <w:i/>
          <w:iCs/>
          <w:color w:val="2E4A6E"/>
          <w:sz w:val="21"/>
          <w:szCs w:val="21"/>
        </w:rPr>
        <w:t xml:space="preserve">La corrupción no es primariamente un problema moral. Es un problema de eficiencia termodinámica. Un sistema con alta fricción institucional no puede sostener flujo laminar independientemente de las intenciones de sus agentes.</w:t>
      </w:r>
    </w:p>
    <w:p>
      <w:pPr>
        <w:pStyle w:val="Heading2"/>
        <w:spacing w:after="130" w:before="260"/>
      </w:pPr>
      <w:r>
        <w:rPr>
          <w:rFonts w:ascii="Arial" w:cs="Arial" w:eastAsia="Arial" w:hAnsi="Arial"/>
          <w:b/>
          <w:bCs/>
          <w:color w:val="16213E"/>
          <w:sz w:val="24"/>
          <w:szCs w:val="24"/>
        </w:rPr>
        <w:t xml:space="preserve">2.5 El Gasto Militar como Disipación Pura</w:t>
      </w:r>
    </w:p>
    <w:p>
      <w:pPr>
        <w:spacing w:after="120" w:before="60" w:line="276"/>
        <w:jc w:val="both"/>
      </w:pPr>
      <w:r>
        <w:rPr>
          <w:rFonts w:ascii="Arial" w:cs="Arial" w:eastAsia="Arial" w:hAnsi="Arial"/>
          <w:color w:val="1A1A2E"/>
          <w:sz w:val="21"/>
          <w:szCs w:val="21"/>
        </w:rPr>
        <w:t xml:space="preserve">El gasto militar global alcanzó los 2,7 billones de dólares en 2024, el décimo año consecutivo de aumento [8]. A diferencia de la inversión en infraestructura o educación, el gasto militar en ausencia de amenaza existencial no genera retorno productivo. Es energía convertida directamente en calor.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rPr>
          <w:tblHeader/>
        </w:trPr>
        <w:tc>
          <w:tcPr>
            <w:tcW w:type="dxa" w:w="5400"/>
            <w:tcBorders>
              <w:top w:val="single" w:color="AACCDD" w:sz="1"/>
              <w:left w:val="single" w:color="AACCDD" w:sz="1"/>
              <w:bottom w:val="single" w:color="AACCDD" w:sz="1"/>
              <w:right w:val="single" w:color="AACCDD" w:sz="1"/>
            </w:tcBorders>
            <w:shd w:fill="1A4A7A" w:val="clear"/>
            <w:tcMar>
              <w:top w:type="dxa" w:w="80"/>
              <w:left w:type="dxa" w:w="120"/>
              <w:bottom w:type="dxa" w:w="80"/>
              <w:right w:type="dxa" w:w="120"/>
            </w:tcMar>
          </w:tcPr>
          <w:p>
            <w:r>
              <w:rPr>
                <w:rFonts w:ascii="Arial" w:cs="Arial" w:eastAsia="Arial" w:hAnsi="Arial"/>
                <w:b/>
                <w:bCs/>
                <w:color w:val="FFFFFF"/>
                <w:sz w:val="19"/>
                <w:szCs w:val="19"/>
              </w:rPr>
              <w:t xml:space="preserve">Concepto</w:t>
            </w:r>
          </w:p>
        </w:tc>
        <w:tc>
          <w:tcPr>
            <w:tcW w:type="dxa" w:w="3960"/>
            <w:tcBorders>
              <w:top w:val="single" w:color="AACCDD" w:sz="1"/>
              <w:left w:val="single" w:color="AACCDD" w:sz="1"/>
              <w:bottom w:val="single" w:color="AACCDD" w:sz="1"/>
              <w:right w:val="single" w:color="AACCDD" w:sz="1"/>
            </w:tcBorders>
            <w:shd w:fill="1A4A7A" w:val="clear"/>
            <w:tcMar>
              <w:top w:type="dxa" w:w="80"/>
              <w:left w:type="dxa" w:w="120"/>
              <w:bottom w:type="dxa" w:w="80"/>
              <w:right w:type="dxa" w:w="120"/>
            </w:tcMar>
          </w:tcPr>
          <w:p>
            <w:r>
              <w:rPr>
                <w:rFonts w:ascii="Arial" w:cs="Arial" w:eastAsia="Arial" w:hAnsi="Arial"/>
                <w:b/>
                <w:bCs/>
                <w:color w:val="FFFFFF"/>
                <w:sz w:val="19"/>
                <w:szCs w:val="19"/>
              </w:rPr>
              <w:t xml:space="preserve">Valor</w:t>
            </w:r>
          </w:p>
        </w:tc>
      </w:tr>
      <w:tr>
        <w:tc>
          <w:tcPr>
            <w:tcW w:type="dxa" w:w="5400"/>
            <w:tcBorders>
              <w:top w:val="single" w:color="AACCDD" w:sz="1"/>
              <w:left w:val="single" w:color="AACCDD" w:sz="1"/>
              <w:bottom w:val="single" w:color="AACCDD" w:sz="1"/>
              <w:right w:val="single" w:color="AACCDD" w:sz="1"/>
            </w:tcBorders>
            <w:shd w:fill="E8F4FD" w:val="clear"/>
            <w:tcMar>
              <w:top w:type="dxa" w:w="80"/>
              <w:left w:type="dxa" w:w="120"/>
              <w:bottom w:type="dxa" w:w="80"/>
              <w:right w:type="dxa" w:w="120"/>
            </w:tcMar>
          </w:tcPr>
          <w:p>
            <w:r>
              <w:rPr>
                <w:rFonts w:ascii="Arial" w:cs="Arial" w:eastAsia="Arial" w:hAnsi="Arial"/>
                <w:color w:val="1A1A2E"/>
                <w:sz w:val="19"/>
                <w:szCs w:val="19"/>
              </w:rPr>
              <w:t xml:space="preserve">Gasto militar global 2024</w:t>
            </w:r>
          </w:p>
        </w:tc>
        <w:tc>
          <w:tcPr>
            <w:tcW w:type="dxa" w:w="3960"/>
            <w:tcBorders>
              <w:top w:val="single" w:color="AACCDD" w:sz="1"/>
              <w:left w:val="single" w:color="AACCDD" w:sz="1"/>
              <w:bottom w:val="single" w:color="AACCDD" w:sz="1"/>
              <w:right w:val="single" w:color="AACCDD" w:sz="1"/>
            </w:tcBorders>
            <w:shd w:fill="E8F4FD" w:val="clear"/>
            <w:tcMar>
              <w:top w:type="dxa" w:w="80"/>
              <w:left w:type="dxa" w:w="120"/>
              <w:bottom w:type="dxa" w:w="80"/>
              <w:right w:type="dxa" w:w="120"/>
            </w:tcMar>
          </w:tcPr>
          <w:p>
            <w:r>
              <w:rPr>
                <w:rFonts w:ascii="Arial" w:cs="Arial" w:eastAsia="Arial" w:hAnsi="Arial"/>
                <w:color w:val="1A1A2E"/>
                <w:sz w:val="19"/>
                <w:szCs w:val="19"/>
              </w:rPr>
              <w:t xml:space="preserve">$2,7 billones de dólares</w:t>
            </w:r>
          </w:p>
        </w:tc>
      </w:tr>
      <w:tr>
        <w:tc>
          <w:tcPr>
            <w:tcW w:type="dxa" w:w="540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Costo anual para eliminar la pobreza extrema global</w:t>
            </w:r>
          </w:p>
        </w:tc>
        <w:tc>
          <w:tcPr>
            <w:tcW w:type="dxa" w:w="396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$300 mil millones</w:t>
            </w:r>
          </w:p>
        </w:tc>
      </w:tr>
      <w:tr>
        <w:tc>
          <w:tcPr>
            <w:tcW w:type="dxa" w:w="5400"/>
            <w:tcBorders>
              <w:top w:val="single" w:color="AACCDD" w:sz="1"/>
              <w:left w:val="single" w:color="AACCDD" w:sz="1"/>
              <w:bottom w:val="single" w:color="AACCDD" w:sz="1"/>
              <w:right w:val="single" w:color="AACCDD" w:sz="1"/>
            </w:tcBorders>
            <w:shd w:fill="E8F4FD" w:val="clear"/>
            <w:tcMar>
              <w:top w:type="dxa" w:w="80"/>
              <w:left w:type="dxa" w:w="120"/>
              <w:bottom w:type="dxa" w:w="80"/>
              <w:right w:type="dxa" w:w="120"/>
            </w:tcMar>
          </w:tcPr>
          <w:p>
            <w:r>
              <w:rPr>
                <w:rFonts w:ascii="Arial" w:cs="Arial" w:eastAsia="Arial" w:hAnsi="Arial"/>
                <w:color w:val="1A1A2E"/>
                <w:sz w:val="19"/>
                <w:szCs w:val="19"/>
              </w:rPr>
              <w:t xml:space="preserve">Porcentaje del gasto militar necesario</w:t>
            </w:r>
          </w:p>
        </w:tc>
        <w:tc>
          <w:tcPr>
            <w:tcW w:type="dxa" w:w="3960"/>
            <w:tcBorders>
              <w:top w:val="single" w:color="AACCDD" w:sz="1"/>
              <w:left w:val="single" w:color="AACCDD" w:sz="1"/>
              <w:bottom w:val="single" w:color="AACCDD" w:sz="1"/>
              <w:right w:val="single" w:color="AACCDD" w:sz="1"/>
            </w:tcBorders>
            <w:shd w:fill="E8F4FD" w:val="clear"/>
            <w:tcMar>
              <w:top w:type="dxa" w:w="80"/>
              <w:left w:type="dxa" w:w="120"/>
              <w:bottom w:type="dxa" w:w="80"/>
              <w:right w:type="dxa" w:w="120"/>
            </w:tcMar>
          </w:tcPr>
          <w:p>
            <w:r>
              <w:rPr>
                <w:rFonts w:ascii="Arial" w:cs="Arial" w:eastAsia="Arial" w:hAnsi="Arial"/>
                <w:color w:val="1A1A2E"/>
                <w:sz w:val="19"/>
                <w:szCs w:val="19"/>
              </w:rPr>
              <w:t xml:space="preserve">11%</w:t>
            </w:r>
          </w:p>
        </w:tc>
      </w:tr>
      <w:tr>
        <w:tc>
          <w:tcPr>
            <w:tcW w:type="dxa" w:w="540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El 89% restante</w:t>
            </w:r>
          </w:p>
        </w:tc>
        <w:tc>
          <w:tcPr>
            <w:tcW w:type="dxa" w:w="396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Disipación pura. Calor sin trabajo útil.</w:t>
            </w:r>
          </w:p>
        </w:tc>
      </w:tr>
      <w:tr>
        <w:tc>
          <w:tcPr>
            <w:tcW w:type="dxa" w:w="5400"/>
            <w:tcBorders>
              <w:top w:val="single" w:color="AACCDD" w:sz="1"/>
              <w:left w:val="single" w:color="AACCDD" w:sz="1"/>
              <w:bottom w:val="single" w:color="AACCDD" w:sz="1"/>
              <w:right w:val="single" w:color="AACCDD" w:sz="1"/>
            </w:tcBorders>
            <w:shd w:fill="E8F4FD" w:val="clear"/>
            <w:tcMar>
              <w:top w:type="dxa" w:w="80"/>
              <w:left w:type="dxa" w:w="120"/>
              <w:bottom w:type="dxa" w:w="80"/>
              <w:right w:type="dxa" w:w="120"/>
            </w:tcMar>
          </w:tcPr>
          <w:p>
            <w:r>
              <w:rPr>
                <w:rFonts w:ascii="Arial" w:cs="Arial" w:eastAsia="Arial" w:hAnsi="Arial"/>
                <w:color w:val="1A1A2E"/>
                <w:sz w:val="19"/>
                <w:szCs w:val="19"/>
              </w:rPr>
              <w:t xml:space="preserve">Años consecutivos de aumento</w:t>
            </w:r>
          </w:p>
        </w:tc>
        <w:tc>
          <w:tcPr>
            <w:tcW w:type="dxa" w:w="3960"/>
            <w:tcBorders>
              <w:top w:val="single" w:color="AACCDD" w:sz="1"/>
              <w:left w:val="single" w:color="AACCDD" w:sz="1"/>
              <w:bottom w:val="single" w:color="AACCDD" w:sz="1"/>
              <w:right w:val="single" w:color="AACCDD" w:sz="1"/>
            </w:tcBorders>
            <w:shd w:fill="E8F4FD" w:val="clear"/>
            <w:tcMar>
              <w:top w:type="dxa" w:w="80"/>
              <w:left w:type="dxa" w:w="120"/>
              <w:bottom w:type="dxa" w:w="80"/>
              <w:right w:type="dxa" w:w="120"/>
            </w:tcMar>
          </w:tcPr>
          <w:p>
            <w:r>
              <w:rPr>
                <w:rFonts w:ascii="Arial" w:cs="Arial" w:eastAsia="Arial" w:hAnsi="Arial"/>
                <w:color w:val="1A1A2E"/>
                <w:sz w:val="19"/>
                <w:szCs w:val="19"/>
              </w:rPr>
              <w:t xml:space="preserve">10 (desde 2015)</w:t>
            </w:r>
          </w:p>
        </w:tc>
      </w:tr>
    </w:tbl>
    <w:p>
      <w:pPr>
        <w:spacing w:after="80"/>
      </w:pPr>
    </w:p>
    <w:p>
      <w:pPr>
        <w:pBdr>
          <w:left w:val="single" w:color="1A4A7A" w:sz="6" w:space="8"/>
        </w:pBdr>
        <w:spacing w:after="160" w:before="160"/>
        <w:ind w:left="480" w:right="480"/>
        <w:jc w:val="center"/>
      </w:pPr>
      <w:r>
        <w:rPr>
          <w:rFonts w:ascii="Arial" w:cs="Arial" w:eastAsia="Arial" w:hAnsi="Arial"/>
          <w:b/>
          <w:bCs/>
          <w:i/>
          <w:iCs/>
          <w:color w:val="2E4A6E"/>
          <w:sz w:val="21"/>
          <w:szCs w:val="21"/>
        </w:rPr>
        <w:t xml:space="preserve">$2,7 billones gastados en mantener el caos. $300 mil millones bastan para eliminarlo. Eso no es política. Es termodinámica.</w:t>
      </w:r>
    </w:p>
    <w:p>
      <w:pPr>
        <w:pStyle w:val="Heading2"/>
        <w:spacing w:after="130" w:before="260"/>
      </w:pPr>
      <w:r>
        <w:rPr>
          <w:rFonts w:ascii="Arial" w:cs="Arial" w:eastAsia="Arial" w:hAnsi="Arial"/>
          <w:b/>
          <w:bCs/>
          <w:color w:val="16213E"/>
          <w:sz w:val="24"/>
          <w:szCs w:val="24"/>
        </w:rPr>
        <w:t xml:space="preserve">2.6 El Experimento del Gradiente en Chimpancés</w:t>
      </w:r>
    </w:p>
    <w:p>
      <w:pPr>
        <w:spacing w:after="120" w:before="60" w:line="276"/>
        <w:jc w:val="both"/>
      </w:pPr>
      <w:r>
        <w:rPr>
          <w:rFonts w:ascii="Arial" w:cs="Arial" w:eastAsia="Arial" w:hAnsi="Arial"/>
          <w:color w:val="1A1A2E"/>
          <w:sz w:val="21"/>
          <w:szCs w:val="21"/>
        </w:rPr>
        <w:t xml:space="preserve">La demostración empírica más controlada de este modelo proviene de la investigación primatológica de largo plazo. Las observaciones de Jane Goodall en Gombe Stream [9] documentaron comunidades de chimpancés viviendo en estabilidad social relativa hasta que los investigadores introdujeron fuentes artificiales de alimento concentradas: plátanos depositados en puntos fijos.</w:t>
      </w:r>
    </w:p>
    <w:p>
      <w:pPr>
        <w:spacing w:after="120" w:before="60" w:line="276"/>
        <w:jc w:val="both"/>
      </w:pPr>
      <w:r>
        <w:rPr>
          <w:rFonts w:ascii="Arial" w:cs="Arial" w:eastAsia="Arial" w:hAnsi="Arial"/>
          <w:color w:val="1A1A2E"/>
          <w:sz w:val="21"/>
          <w:szCs w:val="21"/>
        </w:rPr>
        <w:t xml:space="preserve">La intervención creó un gradiente energético artificial en un paisaje de recursos previamente distribuido. La respuesta social fue inmediata y total: guerra territorial, infanticidio, fisión comunitaria y comportamientos previamente no observados en la población estudiada.</w:t>
      </w:r>
    </w:p>
    <w:p>
      <w:pPr>
        <w:spacing w:after="120" w:before="60" w:line="276"/>
        <w:jc w:val="both"/>
      </w:pPr>
      <w:r>
        <w:rPr>
          <w:rFonts w:ascii="Arial" w:cs="Arial" w:eastAsia="Arial" w:hAnsi="Arial"/>
          <w:color w:val="1A1A2E"/>
          <w:sz w:val="21"/>
          <w:szCs w:val="21"/>
        </w:rPr>
        <w:t xml:space="preserve">La investigación comparativa posterior de Frans de Waal [10] confirmó el patrón en múltiples especies de primates: la violencia social no es un rasgo conductual estable sino una respuesta emergente a la perturbación del gradiente de recursos. Eliminar el gradiente y el comportamiento cooperativo retorna como estado predeterminado del sistema.</w:t>
      </w:r>
    </w:p>
    <w:p>
      <w:pPr>
        <w:pBdr>
          <w:left w:val="single" w:color="1A4A7A" w:sz="6" w:space="8"/>
        </w:pBdr>
        <w:spacing w:after="160" w:before="160"/>
        <w:ind w:left="480" w:right="480"/>
        <w:jc w:val="center"/>
      </w:pPr>
      <w:r>
        <w:rPr>
          <w:rFonts w:ascii="Arial" w:cs="Arial" w:eastAsia="Arial" w:hAnsi="Arial"/>
          <w:b/>
          <w:bCs/>
          <w:i/>
          <w:iCs/>
          <w:color w:val="2E4A6E"/>
          <w:sz w:val="21"/>
          <w:szCs w:val="21"/>
        </w:rPr>
        <w:t xml:space="preserve">Esto constituye evidencia experimental directa de la proposición central de este trabajo: el comportamiento social turbulento es una respuesta física al desequilibrio del gradiente energético, no una expresión de la naturaleza intrínseca de los agentes.</w:t>
      </w:r>
    </w:p>
    <w:p>
      <w:pPr>
        <w:pStyle w:val="Heading1"/>
        <w:spacing w:after="180" w:before="400"/>
      </w:pPr>
      <w:r>
        <w:rPr>
          <w:rFonts w:ascii="Arial" w:cs="Arial" w:eastAsia="Arial" w:hAnsi="Arial"/>
          <w:b/>
          <w:bCs/>
          <w:color w:val="1A1A2E"/>
          <w:sz w:val="30"/>
          <w:szCs w:val="30"/>
        </w:rPr>
        <w:t xml:space="preserve">3. Predicciones Falsables</w:t>
      </w:r>
    </w:p>
    <w:p>
      <w:pPr>
        <w:spacing w:after="120" w:before="60" w:line="276"/>
        <w:jc w:val="both"/>
      </w:pPr>
      <w:r>
        <w:rPr>
          <w:rFonts w:ascii="Arial" w:cs="Arial" w:eastAsia="Arial" w:hAnsi="Arial"/>
          <w:color w:val="1A1A2E"/>
          <w:sz w:val="21"/>
          <w:szCs w:val="21"/>
        </w:rPr>
        <w:t xml:space="preserve">Un marco teórico alcanza estatus científico cuando genera predicciones específicas y contrastables que podrían en principio demostrarse falsas. Derivamos siete predicciones directamente del Modelo Termodinámico Social.</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9360"/>
      </w:tblGrid>
      <w:tr>
        <w:tc>
          <w:tcPr>
            <w:tcW w:type="dxa" w:w="9360"/>
            <w:gridSpan w:val="1"/>
            <w:tcBorders>
              <w:top w:val="single" w:color="AACCDD" w:sz="1"/>
              <w:left w:val="single" w:color="AACCDD" w:sz="1"/>
              <w:bottom w:val="single" w:color="AACCDD" w:sz="1"/>
              <w:right w:val="single" w:color="AACCDD" w:sz="1"/>
            </w:tcBorders>
            <w:shd w:fill="1A4A7A" w:val="clear"/>
            <w:tcMar>
              <w:top w:type="dxa" w:w="100"/>
              <w:left w:type="dxa" w:w="160"/>
              <w:bottom w:type="dxa" w:w="100"/>
              <w:right w:type="dxa" w:w="160"/>
            </w:tcMar>
          </w:tcPr>
          <w:p>
            <w:r>
              <w:rPr>
                <w:rFonts w:ascii="Arial" w:cs="Arial" w:eastAsia="Arial" w:hAnsi="Arial"/>
                <w:b/>
                <w:bCs/>
                <w:color w:val="FFFFFF"/>
                <w:sz w:val="22"/>
                <w:szCs w:val="22"/>
              </w:rPr>
              <w:t xml:space="preserve">Predicción 1 — La Reducción del Gradiente Precede a la Reducción de la Violencia</w:t>
            </w:r>
          </w:p>
        </w:tc>
      </w:tr>
      <w:tr>
        <w:tc>
          <w:tcPr>
            <w:tcW w:type="dxa" w:w="9360"/>
            <w:tcBorders>
              <w:top w:val="single" w:color="AACCDD" w:sz="1"/>
              <w:left w:val="single" w:color="AACCDD" w:sz="1"/>
              <w:bottom w:val="single" w:color="AACCDD" w:sz="1"/>
              <w:right w:val="single" w:color="AACCDD" w:sz="1"/>
            </w:tcBorders>
            <w:shd w:fill="E8F4FD" w:val="clear"/>
            <w:tcMar>
              <w:top w:type="dxa" w:w="100"/>
              <w:left w:type="dxa" w:w="160"/>
              <w:bottom w:type="dxa" w:w="100"/>
              <w:right w:type="dxa" w:w="160"/>
            </w:tcMar>
          </w:tcPr>
          <w:p>
            <w:pPr>
              <w:spacing w:after="80"/>
            </w:pPr>
            <w:r>
              <w:rPr>
                <w:rFonts w:ascii="Arial" w:cs="Arial" w:eastAsia="Arial" w:hAnsi="Arial"/>
                <w:color w:val="1A1A2E"/>
                <w:sz w:val="20"/>
                <w:szCs w:val="20"/>
              </w:rPr>
              <w:t xml:space="preserve">Si la turbulencia social está impulsada por la magnitud del gradiente energético, entonces las reducciones medibles de la desigualdad económica deberían preceder —no seguir— a las reducciones en los indicadores de violencia social. Esta predicción es direccional y causal, no meramente correlacional.</w:t>
            </w:r>
          </w:p>
          <w:p>
            <w:pPr>
              <w:spacing w:after="80"/>
            </w:pPr>
            <w:r>
              <w:rPr>
                <w:rFonts w:ascii="Arial" w:cs="Arial" w:eastAsia="Arial" w:hAnsi="Arial"/>
                <w:i/>
                <w:iCs/>
                <w:color w:val="444466"/>
                <w:sz w:val="19"/>
                <w:szCs w:val="19"/>
              </w:rPr>
              <w:t xml:space="preserve">Contrastable con: Datos longitudinales del coeficiente Gini correlacionados con tasas de homicidio, incidencia de conflictos e índices de estabilidad institucional en ventanas de mínimo 20 años [12]. Resultado esperado: la reducción del gradiente precede a la reducción de la violencia entre 5 y 15 años.</w:t>
            </w:r>
          </w:p>
          <w:p>
            <w:pPr>
              <w:spacing w:after="0"/>
            </w:pPr>
            <w:r>
              <w:rPr>
                <w:rFonts w:ascii="Arial" w:cs="Arial" w:eastAsia="Arial" w:hAnsi="Arial"/>
                <w:i/>
                <w:iCs/>
                <w:color w:val="444466"/>
                <w:sz w:val="19"/>
                <w:szCs w:val="19"/>
              </w:rPr>
              <w:t xml:space="preserve">Falsificación: La reducción de la desigualdad no precede a la reducción de la violencia, o no hay relación causal direccional detectable en series longitudinales de múltiples países.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9360"/>
      </w:tblGrid>
      <w:tr>
        <w:tc>
          <w:tcPr>
            <w:tcW w:type="dxa" w:w="9360"/>
            <w:gridSpan w:val="1"/>
            <w:tcBorders>
              <w:top w:val="single" w:color="AACCDD" w:sz="1"/>
              <w:left w:val="single" w:color="AACCDD" w:sz="1"/>
              <w:bottom w:val="single" w:color="AACCDD" w:sz="1"/>
              <w:right w:val="single" w:color="AACCDD" w:sz="1"/>
            </w:tcBorders>
            <w:shd w:fill="1A4A7A" w:val="clear"/>
            <w:tcMar>
              <w:top w:type="dxa" w:w="100"/>
              <w:left w:type="dxa" w:w="160"/>
              <w:bottom w:type="dxa" w:w="100"/>
              <w:right w:type="dxa" w:w="160"/>
            </w:tcMar>
          </w:tcPr>
          <w:p>
            <w:r>
              <w:rPr>
                <w:rFonts w:ascii="Arial" w:cs="Arial" w:eastAsia="Arial" w:hAnsi="Arial"/>
                <w:b/>
                <w:bCs/>
                <w:color w:val="FFFFFF"/>
                <w:sz w:val="22"/>
                <w:szCs w:val="22"/>
              </w:rPr>
              <w:t xml:space="preserve">Predicción 2 — La Viscosidad Institucional como Estabilizador</w:t>
            </w:r>
          </w:p>
        </w:tc>
      </w:tr>
      <w:tr>
        <w:tc>
          <w:tcPr>
            <w:tcW w:type="dxa" w:w="9360"/>
            <w:tcBorders>
              <w:top w:val="single" w:color="AACCDD" w:sz="1"/>
              <w:left w:val="single" w:color="AACCDD" w:sz="1"/>
              <w:bottom w:val="single" w:color="AACCDD" w:sz="1"/>
              <w:right w:val="single" w:color="AACCDD" w:sz="1"/>
            </w:tcBorders>
            <w:shd w:fill="E8F4FD" w:val="clear"/>
            <w:tcMar>
              <w:top w:type="dxa" w:w="100"/>
              <w:left w:type="dxa" w:w="160"/>
              <w:bottom w:type="dxa" w:w="100"/>
              <w:right w:type="dxa" w:w="160"/>
            </w:tcMar>
          </w:tcPr>
          <w:p>
            <w:pPr>
              <w:spacing w:after="80"/>
            </w:pPr>
            <w:r>
              <w:rPr>
                <w:rFonts w:ascii="Arial" w:cs="Arial" w:eastAsia="Arial" w:hAnsi="Arial"/>
                <w:color w:val="1A1A2E"/>
                <w:sz w:val="20"/>
                <w:szCs w:val="20"/>
              </w:rPr>
              <w:t xml:space="preserve">Sistemas con gradientes energéticos equivalentes pero mayor viscosidad institucional —mayor estado de derecho, menores índices de corrupción, mecanismos de redistribución más efectivos— exhibirán Re_s menor y por tanto menores indicadores de turbulencia.</w:t>
            </w:r>
          </w:p>
          <w:p>
            <w:pPr>
              <w:spacing w:after="80"/>
            </w:pPr>
            <w:r>
              <w:rPr>
                <w:rFonts w:ascii="Arial" w:cs="Arial" w:eastAsia="Arial" w:hAnsi="Arial"/>
                <w:i/>
                <w:iCs/>
                <w:color w:val="444466"/>
                <w:sz w:val="19"/>
                <w:szCs w:val="19"/>
              </w:rPr>
              <w:t xml:space="preserve">Contrastable con: Comparación transnacional de coeficientes Gini, Índice de Percepción de la Corrupción e indicadores de estabilidad social [13][14]. Resultado esperado: la viscosidad institucional explica la varianza residual en la turbulencia social tras controlar la magnitud del gradiente.</w:t>
            </w:r>
          </w:p>
          <w:p>
            <w:pPr>
              <w:spacing w:after="0"/>
            </w:pPr>
            <w:r>
              <w:rPr>
                <w:rFonts w:ascii="Arial" w:cs="Arial" w:eastAsia="Arial" w:hAnsi="Arial"/>
                <w:i/>
                <w:iCs/>
                <w:color w:val="444466"/>
                <w:sz w:val="19"/>
                <w:szCs w:val="19"/>
              </w:rPr>
              <w:t xml:space="preserve">Falsificación: La viscosidad institucional no explica varianza residual significativa en turbulencia tras controlar el gradiente.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9360"/>
      </w:tblGrid>
      <w:tr>
        <w:tc>
          <w:tcPr>
            <w:tcW w:type="dxa" w:w="9360"/>
            <w:gridSpan w:val="1"/>
            <w:tcBorders>
              <w:top w:val="single" w:color="AACCDD" w:sz="1"/>
              <w:left w:val="single" w:color="AACCDD" w:sz="1"/>
              <w:bottom w:val="single" w:color="AACCDD" w:sz="1"/>
              <w:right w:val="single" w:color="AACCDD" w:sz="1"/>
            </w:tcBorders>
            <w:shd w:fill="1A4A7A" w:val="clear"/>
            <w:tcMar>
              <w:top w:type="dxa" w:w="100"/>
              <w:left w:type="dxa" w:w="160"/>
              <w:bottom w:type="dxa" w:w="100"/>
              <w:right w:type="dxa" w:w="160"/>
            </w:tcMar>
          </w:tcPr>
          <w:p>
            <w:r>
              <w:rPr>
                <w:rFonts w:ascii="Arial" w:cs="Arial" w:eastAsia="Arial" w:hAnsi="Arial"/>
                <w:b/>
                <w:bCs/>
                <w:color w:val="FFFFFF"/>
                <w:sz w:val="22"/>
                <w:szCs w:val="22"/>
              </w:rPr>
              <w:t xml:space="preserve">Predicción 3 — La Generalización del Experimento con Chimpancés</w:t>
            </w:r>
          </w:p>
        </w:tc>
      </w:tr>
      <w:tr>
        <w:tc>
          <w:tcPr>
            <w:tcW w:type="dxa" w:w="9360"/>
            <w:tcBorders>
              <w:top w:val="single" w:color="AACCDD" w:sz="1"/>
              <w:left w:val="single" w:color="AACCDD" w:sz="1"/>
              <w:bottom w:val="single" w:color="AACCDD" w:sz="1"/>
              <w:right w:val="single" w:color="AACCDD" w:sz="1"/>
            </w:tcBorders>
            <w:shd w:fill="E8F4FD" w:val="clear"/>
            <w:tcMar>
              <w:top w:type="dxa" w:w="100"/>
              <w:left w:type="dxa" w:w="160"/>
              <w:bottom w:type="dxa" w:w="100"/>
              <w:right w:type="dxa" w:w="160"/>
            </w:tcMar>
          </w:tcPr>
          <w:p>
            <w:pPr>
              <w:spacing w:after="80"/>
            </w:pPr>
            <w:r>
              <w:rPr>
                <w:rFonts w:ascii="Arial" w:cs="Arial" w:eastAsia="Arial" w:hAnsi="Arial"/>
                <w:color w:val="1A1A2E"/>
                <w:sz w:val="20"/>
                <w:szCs w:val="20"/>
              </w:rPr>
              <w:t xml:space="preserve">Si el experimento de Gombe demuestra un mecanismo físico universal, entonces introducciones equivalentes de gradientes artificiales en cualquier sistema social suficientemente complejo deberían producir respuestas de turbulencia equivalentes, independientemente del sustrato cultural o biológico.</w:t>
            </w:r>
          </w:p>
          <w:p>
            <w:pPr>
              <w:spacing w:after="80"/>
            </w:pPr>
            <w:r>
              <w:rPr>
                <w:rFonts w:ascii="Arial" w:cs="Arial" w:eastAsia="Arial" w:hAnsi="Arial"/>
                <w:i/>
                <w:iCs/>
                <w:color w:val="444466"/>
                <w:sz w:val="19"/>
                <w:szCs w:val="19"/>
              </w:rPr>
              <w:t xml:space="preserve">Contrastable con: Literatura sobre la maldición de los recursos y estudios de distribución de ayuda post-conflicto [15]. Resultado esperado: los sistemas que reciben inyecciones concentradas de recursos sin mecanismos de redistribución muestran aumentos de turbulencia en un plazo de 3 a 7 años.</w:t>
            </w:r>
          </w:p>
          <w:p>
            <w:pPr>
              <w:spacing w:after="0"/>
            </w:pPr>
            <w:r>
              <w:rPr>
                <w:rFonts w:ascii="Arial" w:cs="Arial" w:eastAsia="Arial" w:hAnsi="Arial"/>
                <w:i/>
                <w:iCs/>
                <w:color w:val="444466"/>
                <w:sz w:val="19"/>
                <w:szCs w:val="19"/>
              </w:rPr>
              <w:t xml:space="preserve">Falsificación: Los sistemas con inyecciones concentradas de recursos no muestran aumento de turbulencia social en series temporales de 10 años.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9360"/>
      </w:tblGrid>
      <w:tr>
        <w:tc>
          <w:tcPr>
            <w:tcW w:type="dxa" w:w="9360"/>
            <w:gridSpan w:val="1"/>
            <w:tcBorders>
              <w:top w:val="single" w:color="AACCDD" w:sz="1"/>
              <w:left w:val="single" w:color="AACCDD" w:sz="1"/>
              <w:bottom w:val="single" w:color="AACCDD" w:sz="1"/>
              <w:right w:val="single" w:color="AACCDD" w:sz="1"/>
            </w:tcBorders>
            <w:shd w:fill="1A4A7A" w:val="clear"/>
            <w:tcMar>
              <w:top w:type="dxa" w:w="100"/>
              <w:left w:type="dxa" w:w="160"/>
              <w:bottom w:type="dxa" w:w="100"/>
              <w:right w:type="dxa" w:w="160"/>
            </w:tcMar>
          </w:tcPr>
          <w:p>
            <w:r>
              <w:rPr>
                <w:rFonts w:ascii="Arial" w:cs="Arial" w:eastAsia="Arial" w:hAnsi="Arial"/>
                <w:b/>
                <w:bCs/>
                <w:color w:val="FFFFFF"/>
                <w:sz w:val="22"/>
                <w:szCs w:val="22"/>
              </w:rPr>
              <w:t xml:space="preserve">Predicción 4 — Firmas de Transición de Fase</w:t>
            </w:r>
          </w:p>
        </w:tc>
      </w:tr>
      <w:tr>
        <w:tc>
          <w:tcPr>
            <w:tcW w:type="dxa" w:w="9360"/>
            <w:tcBorders>
              <w:top w:val="single" w:color="AACCDD" w:sz="1"/>
              <w:left w:val="single" w:color="AACCDD" w:sz="1"/>
              <w:bottom w:val="single" w:color="AACCDD" w:sz="1"/>
              <w:right w:val="single" w:color="AACCDD" w:sz="1"/>
            </w:tcBorders>
            <w:shd w:fill="E8F4FD" w:val="clear"/>
            <w:tcMar>
              <w:top w:type="dxa" w:w="100"/>
              <w:left w:type="dxa" w:w="160"/>
              <w:bottom w:type="dxa" w:w="100"/>
              <w:right w:type="dxa" w:w="160"/>
            </w:tcMar>
          </w:tcPr>
          <w:p>
            <w:pPr>
              <w:spacing w:after="80"/>
            </w:pPr>
            <w:r>
              <w:rPr>
                <w:rFonts w:ascii="Arial" w:cs="Arial" w:eastAsia="Arial" w:hAnsi="Arial"/>
                <w:color w:val="1A1A2E"/>
                <w:sz w:val="20"/>
                <w:szCs w:val="20"/>
              </w:rPr>
              <w:t xml:space="preserve">Si el colapso social sigue la dinámica de las transiciones de fase termodinámicas, los sistemas pre-colapso deberían exhibir una desaceleración crítica medible —aumento de varianza y prolongación de los tiempos de recuperación— antes del evento de transición [6].</w:t>
            </w:r>
          </w:p>
          <w:p>
            <w:pPr>
              <w:spacing w:after="80"/>
            </w:pPr>
            <w:r>
              <w:rPr>
                <w:rFonts w:ascii="Arial" w:cs="Arial" w:eastAsia="Arial" w:hAnsi="Arial"/>
                <w:i/>
                <w:iCs/>
                <w:color w:val="444466"/>
                <w:sz w:val="19"/>
                <w:szCs w:val="19"/>
              </w:rPr>
              <w:t xml:space="preserve">Contrastable con: Series temporales históricas de volatilidad económica y tiempos de respuesta institucional en los años previos a colapsos estatales documentados. Resultado esperado: firmas de desaceleración crítica detectables entre 3 y 10 años antes de las principales transiciones de fase social.</w:t>
            </w:r>
          </w:p>
          <w:p>
            <w:pPr>
              <w:spacing w:after="0"/>
            </w:pPr>
            <w:r>
              <w:rPr>
                <w:rFonts w:ascii="Arial" w:cs="Arial" w:eastAsia="Arial" w:hAnsi="Arial"/>
                <w:i/>
                <w:iCs/>
                <w:color w:val="444466"/>
                <w:sz w:val="19"/>
                <w:szCs w:val="19"/>
              </w:rPr>
              <w:t xml:space="preserve">Falsificación: Los colapsos estatales documentados no exhiben precursores estadísticos de desaceleración crítica en series previas al evento.</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9360"/>
      </w:tblGrid>
      <w:tr>
        <w:tc>
          <w:tcPr>
            <w:tcW w:type="dxa" w:w="9360"/>
            <w:gridSpan w:val="1"/>
            <w:tcBorders>
              <w:top w:val="single" w:color="AACCDD" w:sz="1"/>
              <w:left w:val="single" w:color="AACCDD" w:sz="1"/>
              <w:bottom w:val="single" w:color="AACCDD" w:sz="1"/>
              <w:right w:val="single" w:color="AACCDD" w:sz="1"/>
            </w:tcBorders>
            <w:shd w:fill="1A4A7A" w:val="clear"/>
            <w:tcMar>
              <w:top w:type="dxa" w:w="100"/>
              <w:left w:type="dxa" w:w="160"/>
              <w:bottom w:type="dxa" w:w="100"/>
              <w:right w:type="dxa" w:w="160"/>
            </w:tcMar>
          </w:tcPr>
          <w:p>
            <w:r>
              <w:rPr>
                <w:rFonts w:ascii="Arial" w:cs="Arial" w:eastAsia="Arial" w:hAnsi="Arial"/>
                <w:b/>
                <w:bCs/>
                <w:color w:val="FFFFFF"/>
                <w:sz w:val="22"/>
                <w:szCs w:val="22"/>
              </w:rPr>
              <w:t xml:space="preserve">Predicción 5 — El Caso Laminar Nórdico</w:t>
            </w:r>
          </w:p>
        </w:tc>
      </w:tr>
      <w:tr>
        <w:tc>
          <w:tcPr>
            <w:tcW w:type="dxa" w:w="9360"/>
            <w:tcBorders>
              <w:top w:val="single" w:color="AACCDD" w:sz="1"/>
              <w:left w:val="single" w:color="AACCDD" w:sz="1"/>
              <w:bottom w:val="single" w:color="AACCDD" w:sz="1"/>
              <w:right w:val="single" w:color="AACCDD" w:sz="1"/>
            </w:tcBorders>
            <w:shd w:fill="E8F4FD" w:val="clear"/>
            <w:tcMar>
              <w:top w:type="dxa" w:w="100"/>
              <w:left w:type="dxa" w:w="160"/>
              <w:bottom w:type="dxa" w:w="100"/>
              <w:right w:type="dxa" w:w="160"/>
            </w:tcMar>
          </w:tcPr>
          <w:p>
            <w:pPr>
              <w:spacing w:after="80"/>
            </w:pPr>
            <w:r>
              <w:rPr>
                <w:rFonts w:ascii="Arial" w:cs="Arial" w:eastAsia="Arial" w:hAnsi="Arial"/>
                <w:color w:val="1A1A2E"/>
                <w:sz w:val="20"/>
                <w:szCs w:val="20"/>
              </w:rPr>
              <w:t xml:space="preserve">Si la alta viscosidad institucional combinada con gradientes energéticos moderados produce condiciones de flujo laminar, entonces las sociedades que han sostenido ambas condiciones durante varias décadas deberían exhibir estabilidad estructural, alta generación de complejidad y conversión eficiente de energía en trabajo.</w:t>
            </w:r>
          </w:p>
          <w:p>
            <w:pPr>
              <w:spacing w:after="80"/>
            </w:pPr>
            <w:r>
              <w:rPr>
                <w:rFonts w:ascii="Arial" w:cs="Arial" w:eastAsia="Arial" w:hAnsi="Arial"/>
                <w:i/>
                <w:iCs/>
                <w:color w:val="444466"/>
                <w:sz w:val="19"/>
                <w:szCs w:val="19"/>
              </w:rPr>
              <w:t xml:space="preserve">Contrastable con: Producción comparativa de innovación, tasas de publicación científica, índices de movilidad social y estabilidad institucional en ventanas de 40 años [17]. Resultado esperado: los sistemas nórdicos muestran generación de complejidad desproporcionada respecto a su tamaño poblacional.</w:t>
            </w:r>
          </w:p>
          <w:p>
            <w:pPr>
              <w:spacing w:after="0"/>
            </w:pPr>
            <w:r>
              <w:rPr>
                <w:rFonts w:ascii="Arial" w:cs="Arial" w:eastAsia="Arial" w:hAnsi="Arial"/>
                <w:i/>
                <w:iCs/>
                <w:color w:val="444466"/>
                <w:sz w:val="19"/>
                <w:szCs w:val="19"/>
              </w:rPr>
              <w:t xml:space="preserve">Falsificación: Los sistemas nórdicos no muestran generación de complejidad desproporcionada al controlar por PIB per cápita.</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9360"/>
      </w:tblGrid>
      <w:tr>
        <w:tc>
          <w:tcPr>
            <w:tcW w:type="dxa" w:w="9360"/>
            <w:gridSpan w:val="1"/>
            <w:tcBorders>
              <w:top w:val="single" w:color="AACCDD" w:sz="1"/>
              <w:left w:val="single" w:color="AACCDD" w:sz="1"/>
              <w:bottom w:val="single" w:color="AACCDD" w:sz="1"/>
              <w:right w:val="single" w:color="AACCDD" w:sz="1"/>
            </w:tcBorders>
            <w:shd w:fill="1A4A7A" w:val="clear"/>
            <w:tcMar>
              <w:top w:type="dxa" w:w="100"/>
              <w:left w:type="dxa" w:w="160"/>
              <w:bottom w:type="dxa" w:w="100"/>
              <w:right w:type="dxa" w:w="160"/>
            </w:tcMar>
          </w:tcPr>
          <w:p>
            <w:r>
              <w:rPr>
                <w:rFonts w:ascii="Arial" w:cs="Arial" w:eastAsia="Arial" w:hAnsi="Arial"/>
                <w:b/>
                <w:bCs/>
                <w:color w:val="FFFFFF"/>
                <w:sz w:val="22"/>
                <w:szCs w:val="22"/>
              </w:rPr>
              <w:t xml:space="preserve">Predicción 6 — Estabilización Global Mediante Reducción del Gradiente</w:t>
            </w:r>
          </w:p>
        </w:tc>
      </w:tr>
      <w:tr>
        <w:tc>
          <w:tcPr>
            <w:tcW w:type="dxa" w:w="9360"/>
            <w:tcBorders>
              <w:top w:val="single" w:color="AACCDD" w:sz="1"/>
              <w:left w:val="single" w:color="AACCDD" w:sz="1"/>
              <w:bottom w:val="single" w:color="AACCDD" w:sz="1"/>
              <w:right w:val="single" w:color="AACCDD" w:sz="1"/>
            </w:tcBorders>
            <w:shd w:fill="E8F4FD" w:val="clear"/>
            <w:tcMar>
              <w:top w:type="dxa" w:w="100"/>
              <w:left w:type="dxa" w:w="160"/>
              <w:bottom w:type="dxa" w:w="100"/>
              <w:right w:type="dxa" w:w="160"/>
            </w:tcMar>
          </w:tcPr>
          <w:p>
            <w:pPr>
              <w:spacing w:after="80"/>
            </w:pPr>
            <w:r>
              <w:rPr>
                <w:rFonts w:ascii="Arial" w:cs="Arial" w:eastAsia="Arial" w:hAnsi="Arial"/>
                <w:color w:val="1A1A2E"/>
                <w:sz w:val="20"/>
                <w:szCs w:val="20"/>
              </w:rPr>
              <w:t xml:space="preserve">Si el sistema humano global opera como un único sistema disipativo, la reducción del gradiente a escala global debería producir reducción de turbulencia incluso en regiones que no recibieron directamente recursos redistribuidos, a través de la reducción de presión migratoria, desbordamiento de conflictos, riesgo pandémico y fragilidad de cadenas de suministro.</w:t>
            </w:r>
          </w:p>
          <w:p>
            <w:pPr>
              <w:spacing w:after="80"/>
            </w:pPr>
            <w:r>
              <w:rPr>
                <w:rFonts w:ascii="Arial" w:cs="Arial" w:eastAsia="Arial" w:hAnsi="Arial"/>
                <w:i/>
                <w:iCs/>
                <w:color w:val="444466"/>
                <w:sz w:val="19"/>
                <w:szCs w:val="19"/>
              </w:rPr>
              <w:t xml:space="preserve">Contrastable con: Estudios de modelización de escenarios de reducción de la desigualdad global frente a conjuntos de datos de conflicto, migración y propagación pandémica [18][19]. Resultado esperado: una reducción del 20% en el Gini global produce reducción medible de turbulencia en regiones de altos ingresos dentro de una generación.</w:t>
            </w:r>
          </w:p>
          <w:p>
            <w:pPr>
              <w:spacing w:after="0"/>
            </w:pPr>
            <w:r>
              <w:rPr>
                <w:rFonts w:ascii="Arial" w:cs="Arial" w:eastAsia="Arial" w:hAnsi="Arial"/>
                <w:i/>
                <w:iCs/>
                <w:color w:val="444466"/>
                <w:sz w:val="19"/>
                <w:szCs w:val="19"/>
              </w:rPr>
              <w:t xml:space="preserve">Falsificación: La reducción del gradiente global no produce efectos de reducción de turbulencia en regiones no receptoras dentro del horizonte temporal de una generación.</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9360"/>
      </w:tblGrid>
      <w:tr>
        <w:tc>
          <w:tcPr>
            <w:tcW w:type="dxa" w:w="9360"/>
            <w:gridSpan w:val="1"/>
            <w:tcBorders>
              <w:top w:val="single" w:color="AACCDD" w:sz="1"/>
              <w:left w:val="single" w:color="AACCDD" w:sz="1"/>
              <w:bottom w:val="single" w:color="AACCDD" w:sz="1"/>
              <w:right w:val="single" w:color="AACCDD" w:sz="1"/>
            </w:tcBorders>
            <w:shd w:fill="1A4A7A" w:val="clear"/>
            <w:tcMar>
              <w:top w:type="dxa" w:w="100"/>
              <w:left w:type="dxa" w:w="160"/>
              <w:bottom w:type="dxa" w:w="100"/>
              <w:right w:type="dxa" w:w="160"/>
            </w:tcMar>
          </w:tcPr>
          <w:p>
            <w:r>
              <w:rPr>
                <w:rFonts w:ascii="Arial" w:cs="Arial" w:eastAsia="Arial" w:hAnsi="Arial"/>
                <w:b/>
                <w:bCs/>
                <w:color w:val="FFFFFF"/>
                <w:sz w:val="22"/>
                <w:szCs w:val="22"/>
              </w:rPr>
              <w:t xml:space="preserve">Predicción 7 — La Guerra sin Excedente</w:t>
            </w:r>
          </w:p>
        </w:tc>
      </w:tr>
      <w:tr>
        <w:tc>
          <w:tcPr>
            <w:tcW w:type="dxa" w:w="9360"/>
            <w:tcBorders>
              <w:top w:val="single" w:color="AACCDD" w:sz="1"/>
              <w:left w:val="single" w:color="AACCDD" w:sz="1"/>
              <w:bottom w:val="single" w:color="AACCDD" w:sz="1"/>
              <w:right w:val="single" w:color="AACCDD" w:sz="1"/>
            </w:tcBorders>
            <w:shd w:fill="E8F4FD" w:val="clear"/>
            <w:tcMar>
              <w:top w:type="dxa" w:w="100"/>
              <w:left w:type="dxa" w:w="160"/>
              <w:bottom w:type="dxa" w:w="100"/>
              <w:right w:type="dxa" w:w="160"/>
            </w:tcMar>
          </w:tcPr>
          <w:p>
            <w:pPr>
              <w:spacing w:after="80"/>
            </w:pPr>
            <w:r>
              <w:rPr>
                <w:rFonts w:ascii="Arial" w:cs="Arial" w:eastAsia="Arial" w:hAnsi="Arial"/>
                <w:color w:val="1A1A2E"/>
                <w:sz w:val="20"/>
                <w:szCs w:val="20"/>
              </w:rPr>
              <w:t xml:space="preserve">La reducción sostenida del excedente humano desocupado en una región debería producir una reducción medible en la intensidad y duración de los conflictos armados en esa región, independientemente de la intervención diplomática o militar directa. Sin mano de obra desocupada la guerra se vuelve económicamente insostenible: no por falta de voluntad política, sino por falta de combustible humano.</w:t>
            </w:r>
          </w:p>
          <w:p>
            <w:pPr>
              <w:spacing w:after="80"/>
            </w:pPr>
            <w:r>
              <w:rPr>
                <w:rFonts w:ascii="Arial" w:cs="Arial" w:eastAsia="Arial" w:hAnsi="Arial"/>
                <w:i/>
                <w:iCs/>
                <w:color w:val="444466"/>
                <w:sz w:val="19"/>
                <w:szCs w:val="19"/>
              </w:rPr>
              <w:t xml:space="preserve">Contrastable con: Tasas de desempleo juvenil urbano correlacionadas con intensidad del conflicto armado local (OIT + UNODC [19][22]); densidad en campos de refugiados correlacionada con tasa de reclutamiento por milicias (ACNUR + ACLED). Series de 10-20 años en múltiples contextos geográficos.</w:t>
            </w:r>
          </w:p>
          <w:p>
            <w:pPr>
              <w:spacing w:after="0"/>
            </w:pPr>
            <w:r>
              <w:rPr>
                <w:rFonts w:ascii="Arial" w:cs="Arial" w:eastAsia="Arial" w:hAnsi="Arial"/>
                <w:i/>
                <w:iCs/>
                <w:color w:val="444466"/>
                <w:sz w:val="19"/>
                <w:szCs w:val="19"/>
              </w:rPr>
              <w:t xml:space="preserve">Falsificación: El desempleo juvenil no muestra correlación causal con la intensidad del conflicto armado local tras controlar por factores políticos e ideológicos.</w:t>
            </w:r>
          </w:p>
        </w:tc>
      </w:tr>
    </w:tbl>
    <w:p>
      <w:pPr>
        <w:spacing w:after="80"/>
      </w:pPr>
    </w:p>
    <w:p>
      <w:r>
        <w:br w:type="page"/>
      </w:r>
    </w:p>
    <w:p>
      <w:pPr>
        <w:spacing w:after="200" w:before="200"/>
        <w:jc w:val="center"/>
      </w:pPr>
      <w:r>
        <w:rPr>
          <w:rFonts w:ascii="Arial" w:cs="Arial" w:eastAsia="Arial" w:hAnsi="Arial"/>
          <w:b/>
          <w:bCs/>
          <w:color w:val="1A1A2E"/>
          <w:sz w:val="32"/>
          <w:szCs w:val="32"/>
        </w:rPr>
        <w:t xml:space="preserve">PARTE II — DE LA TEORÍA A LA INTERVENCIÓN</w:t>
      </w:r>
    </w:p>
    <w:p>
      <w:r>
        <w:br w:type="page"/>
      </w:r>
    </w:p>
    <w:p>
      <w:pPr>
        <w:pStyle w:val="Heading1"/>
        <w:spacing w:after="180" w:before="400"/>
      </w:pPr>
      <w:r>
        <w:rPr>
          <w:rFonts w:ascii="Arial" w:cs="Arial" w:eastAsia="Arial" w:hAnsi="Arial"/>
          <w:b/>
          <w:bCs/>
          <w:color w:val="1A1A2E"/>
          <w:sz w:val="30"/>
          <w:szCs w:val="30"/>
        </w:rPr>
        <w:t xml:space="preserve">4. El Excedente Humano como Combustible del Conflicto</w:t>
      </w:r>
    </w:p>
    <w:p>
      <w:pPr>
        <w:spacing w:after="120" w:before="60" w:line="276"/>
        <w:jc w:val="both"/>
      </w:pPr>
      <w:r>
        <w:rPr>
          <w:rFonts w:ascii="Arial" w:cs="Arial" w:eastAsia="Arial" w:hAnsi="Arial"/>
          <w:color w:val="1A1A2E"/>
          <w:sz w:val="21"/>
          <w:szCs w:val="21"/>
        </w:rPr>
        <w:t xml:space="preserve">La teoría económica convencional analiza la guerra en términos de intereses nacionales, ideología, recursos estratégicos y poder geopolítico. Todos estos factores son reales. Pero ninguno aborda la condición termodinámica básica que hace que la guerra sea físicamente posible a escala masiva: el excedente humano desocupado.</w:t>
      </w:r>
    </w:p>
    <w:p>
      <w:pPr>
        <w:spacing w:after="120" w:before="60" w:line="276"/>
        <w:jc w:val="both"/>
      </w:pPr>
      <w:r>
        <w:rPr>
          <w:rFonts w:ascii="Arial" w:cs="Arial" w:eastAsia="Arial" w:hAnsi="Arial"/>
          <w:color w:val="1A1A2E"/>
          <w:sz w:val="21"/>
          <w:szCs w:val="21"/>
        </w:rPr>
        <w:t xml:space="preserve">Un conflicto armado de escala significativa requiere dos insumos fundamentales e irreemplazables. El primero son las armas: sistemas de destrucción que la industria de defensa provee con creciente eficiencia por $2,7 billones anuales [19]. El segundo, y el que raramente se analiza como variable sistémica, son los cuerpos: seres humanos dispuestos a operar esas armas a cambio de salario, pertenencia o ausencia de alternativas mejores.</w:t>
      </w:r>
    </w:p>
    <w:p>
      <w:pPr>
        <w:pBdr>
          <w:left w:val="single" w:color="1A4A7A" w:sz="6" w:space="8"/>
        </w:pBdr>
        <w:spacing w:after="160" w:before="160"/>
        <w:ind w:left="480" w:right="480"/>
        <w:jc w:val="center"/>
      </w:pPr>
      <w:r>
        <w:rPr>
          <w:rFonts w:ascii="Arial" w:cs="Arial" w:eastAsia="Arial" w:hAnsi="Arial"/>
          <w:b/>
          <w:bCs/>
          <w:i/>
          <w:iCs/>
          <w:color w:val="2E4A6E"/>
          <w:sz w:val="21"/>
          <w:szCs w:val="21"/>
        </w:rPr>
        <w:t xml:space="preserve">La guerra no es una decisión política que se ejecuta sobre una población neutral. Es un sistema que se alimenta de las condiciones energéticas de esa población.</w:t>
      </w:r>
    </w:p>
    <w:p>
      <w:pPr>
        <w:pStyle w:val="Heading2"/>
        <w:spacing w:after="130" w:before="260"/>
      </w:pPr>
      <w:r>
        <w:rPr>
          <w:rFonts w:ascii="Arial" w:cs="Arial" w:eastAsia="Arial" w:hAnsi="Arial"/>
          <w:b/>
          <w:bCs/>
          <w:color w:val="16213E"/>
          <w:sz w:val="24"/>
          <w:szCs w:val="24"/>
        </w:rPr>
        <w:t xml:space="preserve">4.1 La Pobreza Urbana Extrema como Energía Potencial No Canalizada</w:t>
      </w:r>
    </w:p>
    <w:p>
      <w:pPr>
        <w:spacing w:after="120" w:before="60" w:line="276"/>
        <w:jc w:val="both"/>
      </w:pPr>
      <w:r>
        <w:rPr>
          <w:rFonts w:ascii="Arial" w:cs="Arial" w:eastAsia="Arial" w:hAnsi="Arial"/>
          <w:color w:val="1A1A2E"/>
          <w:sz w:val="21"/>
          <w:szCs w:val="21"/>
        </w:rPr>
        <w:t xml:space="preserve">Desde la perspectiva del Modelo Termodinámico Social, la pobreza urbana extrema concentrada en las grandes ciudades del sur global constituye energía potencial acumulada sin canal productivo disponible. Es un sistema de alta presión sin válvula de escape.</w:t>
      </w:r>
    </w:p>
    <w:p>
      <w:pPr>
        <w:spacing w:after="120" w:before="60" w:line="276"/>
        <w:jc w:val="both"/>
      </w:pPr>
      <w:r>
        <w:rPr>
          <w:rFonts w:ascii="Arial" w:cs="Arial" w:eastAsia="Arial" w:hAnsi="Arial"/>
          <w:color w:val="1A1A2E"/>
          <w:sz w:val="21"/>
          <w:szCs w:val="21"/>
        </w:rPr>
        <w:t xml:space="preserve">En termodinámica, la energía potencial acumulada sin canal de descarga no desaparece. Busca el camino de menor resistencia disponible. En un sistema social de alta entropía urbana, ese camino es invariablemente la fricción: violencia, crimen organizado, reclutamiento por milicias, ejércitos regulares o narcotráfico. Todos ofrecen lo mismo: un canal de descarga para la energía acumulada que no encontró salida productiva.</w:t>
      </w:r>
    </w:p>
    <w:p>
      <w:pPr>
        <w:spacing w:after="120" w:before="60" w:line="276"/>
        <w:jc w:val="both"/>
      </w:pPr>
      <w:r>
        <w:rPr>
          <w:rFonts w:ascii="Arial" w:cs="Arial" w:eastAsia="Arial" w:hAnsi="Arial"/>
          <w:color w:val="1A1A2E"/>
          <w:sz w:val="21"/>
          <w:szCs w:val="21"/>
        </w:rPr>
        <w:t xml:space="preserve">El joven de 18 años en una ciudad de alta presión sin tierra, sin herramientas, sin capital y sin perspectiva de movilidad ascendente no elige la violencia en el sentido en que la economía neoclásica entiende la elección racional. Responde físicamente a las condiciones del gradiente que habita. Su comportamiento es el comportamiento del agua en un hervidor: no es naturaleza del agua, es física de la temperatura.</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AACCDD" w:sz="1"/>
              <w:left w:val="single" w:color="AACCDD" w:sz="1"/>
              <w:bottom w:val="single" w:color="AACCDD" w:sz="1"/>
              <w:right w:val="single" w:color="AACCDD" w:sz="1"/>
            </w:tcBorders>
            <w:shd w:fill="1A4A7A" w:val="clear"/>
            <w:tcMar>
              <w:top w:type="dxa" w:w="80"/>
              <w:left w:type="dxa" w:w="120"/>
              <w:bottom w:type="dxa" w:w="80"/>
              <w:right w:type="dxa" w:w="120"/>
            </w:tcMar>
          </w:tcPr>
          <w:p>
            <w:r>
              <w:rPr>
                <w:rFonts w:ascii="Arial" w:cs="Arial" w:eastAsia="Arial" w:hAnsi="Arial"/>
                <w:b/>
                <w:bCs/>
                <w:color w:val="FFFFFF"/>
                <w:sz w:val="19"/>
                <w:szCs w:val="19"/>
              </w:rPr>
              <w:t xml:space="preserve">Condición del agente</w:t>
            </w:r>
          </w:p>
        </w:tc>
        <w:tc>
          <w:tcPr>
            <w:tcW w:type="dxa" w:w="3000"/>
            <w:tcBorders>
              <w:top w:val="single" w:color="AACCDD" w:sz="1"/>
              <w:left w:val="single" w:color="AACCDD" w:sz="1"/>
              <w:bottom w:val="single" w:color="AACCDD" w:sz="1"/>
              <w:right w:val="single" w:color="AACCDD" w:sz="1"/>
            </w:tcBorders>
            <w:shd w:fill="1A4A7A" w:val="clear"/>
            <w:tcMar>
              <w:top w:type="dxa" w:w="80"/>
              <w:left w:type="dxa" w:w="120"/>
              <w:bottom w:type="dxa" w:w="80"/>
              <w:right w:type="dxa" w:w="120"/>
            </w:tcMar>
          </w:tcPr>
          <w:p>
            <w:r>
              <w:rPr>
                <w:rFonts w:ascii="Arial" w:cs="Arial" w:eastAsia="Arial" w:hAnsi="Arial"/>
                <w:b/>
                <w:bCs/>
                <w:color w:val="FFFFFF"/>
                <w:sz w:val="19"/>
                <w:szCs w:val="19"/>
              </w:rPr>
              <w:t xml:space="preserve">Analogía física</w:t>
            </w:r>
          </w:p>
        </w:tc>
        <w:tc>
          <w:tcPr>
            <w:tcW w:type="dxa" w:w="3360"/>
            <w:tcBorders>
              <w:top w:val="single" w:color="AACCDD" w:sz="1"/>
              <w:left w:val="single" w:color="AACCDD" w:sz="1"/>
              <w:bottom w:val="single" w:color="AACCDD" w:sz="1"/>
              <w:right w:val="single" w:color="AACCDD" w:sz="1"/>
            </w:tcBorders>
            <w:shd w:fill="1A4A7A" w:val="clear"/>
            <w:tcMar>
              <w:top w:type="dxa" w:w="80"/>
              <w:left w:type="dxa" w:w="120"/>
              <w:bottom w:type="dxa" w:w="80"/>
              <w:right w:type="dxa" w:w="120"/>
            </w:tcMar>
          </w:tcPr>
          <w:p>
            <w:r>
              <w:rPr>
                <w:rFonts w:ascii="Arial" w:cs="Arial" w:eastAsia="Arial" w:hAnsi="Arial"/>
                <w:b/>
                <w:bCs/>
                <w:color w:val="FFFFFF"/>
                <w:sz w:val="19"/>
                <w:szCs w:val="19"/>
              </w:rPr>
              <w:t xml:space="preserve">Canal de descarga disponible</w:t>
            </w:r>
          </w:p>
        </w:tc>
      </w:tr>
      <w:tr>
        <w:tc>
          <w:tcPr>
            <w:tcW w:type="dxa" w:w="3000"/>
            <w:tcBorders>
              <w:top w:val="single" w:color="AACCDD" w:sz="1"/>
              <w:left w:val="single" w:color="AACCDD" w:sz="1"/>
              <w:bottom w:val="single" w:color="AACCDD" w:sz="1"/>
              <w:right w:val="single" w:color="AACCDD" w:sz="1"/>
            </w:tcBorders>
            <w:shd w:fill="E8F4FD" w:val="clear"/>
            <w:tcMar>
              <w:top w:type="dxa" w:w="80"/>
              <w:left w:type="dxa" w:w="120"/>
              <w:bottom w:type="dxa" w:w="80"/>
              <w:right w:type="dxa" w:w="120"/>
            </w:tcMar>
          </w:tcPr>
          <w:p>
            <w:r>
              <w:rPr>
                <w:rFonts w:ascii="Arial" w:cs="Arial" w:eastAsia="Arial" w:hAnsi="Arial"/>
                <w:color w:val="1A1A2E"/>
                <w:sz w:val="19"/>
                <w:szCs w:val="19"/>
              </w:rPr>
              <w:t xml:space="preserve">Joven con tierra, herramientas y producción propia</w:t>
            </w:r>
          </w:p>
        </w:tc>
        <w:tc>
          <w:tcPr>
            <w:tcW w:type="dxa" w:w="3000"/>
            <w:tcBorders>
              <w:top w:val="single" w:color="AACCDD" w:sz="1"/>
              <w:left w:val="single" w:color="AACCDD" w:sz="1"/>
              <w:bottom w:val="single" w:color="AACCDD" w:sz="1"/>
              <w:right w:val="single" w:color="AACCDD" w:sz="1"/>
            </w:tcBorders>
            <w:shd w:fill="E8F4FD" w:val="clear"/>
            <w:tcMar>
              <w:top w:type="dxa" w:w="80"/>
              <w:left w:type="dxa" w:w="120"/>
              <w:bottom w:type="dxa" w:w="80"/>
              <w:right w:type="dxa" w:w="120"/>
            </w:tcMar>
          </w:tcPr>
          <w:p>
            <w:r>
              <w:rPr>
                <w:rFonts w:ascii="Arial" w:cs="Arial" w:eastAsia="Arial" w:hAnsi="Arial"/>
                <w:color w:val="1A1A2E"/>
                <w:sz w:val="19"/>
                <w:szCs w:val="19"/>
              </w:rPr>
              <w:t xml:space="preserve">Sistema de baja presión, flujo laminar</w:t>
            </w:r>
          </w:p>
        </w:tc>
        <w:tc>
          <w:tcPr>
            <w:tcW w:type="dxa" w:w="3360"/>
            <w:tcBorders>
              <w:top w:val="single" w:color="AACCDD" w:sz="1"/>
              <w:left w:val="single" w:color="AACCDD" w:sz="1"/>
              <w:bottom w:val="single" w:color="AACCDD" w:sz="1"/>
              <w:right w:val="single" w:color="AACCDD" w:sz="1"/>
            </w:tcBorders>
            <w:shd w:fill="E8F4FD" w:val="clear"/>
            <w:tcMar>
              <w:top w:type="dxa" w:w="80"/>
              <w:left w:type="dxa" w:w="120"/>
              <w:bottom w:type="dxa" w:w="80"/>
              <w:right w:type="dxa" w:w="120"/>
            </w:tcMar>
          </w:tcPr>
          <w:p>
            <w:r>
              <w:rPr>
                <w:rFonts w:ascii="Arial" w:cs="Arial" w:eastAsia="Arial" w:hAnsi="Arial"/>
                <w:color w:val="1A1A2E"/>
                <w:sz w:val="19"/>
                <w:szCs w:val="19"/>
              </w:rPr>
              <w:t xml:space="preserve">Trabajo productivo, familia, comunidad</w:t>
            </w:r>
          </w:p>
        </w:tc>
      </w:tr>
      <w:tr>
        <w:tc>
          <w:tcPr>
            <w:tcW w:type="dxa" w:w="300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Joven urbano con empleo formal y movilidad</w:t>
            </w:r>
          </w:p>
        </w:tc>
        <w:tc>
          <w:tcPr>
            <w:tcW w:type="dxa" w:w="300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Presión moderada, flujo regulado</w:t>
            </w:r>
          </w:p>
        </w:tc>
        <w:tc>
          <w:tcPr>
            <w:tcW w:type="dxa" w:w="336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Economía formal, consumo, participación cívica</w:t>
            </w:r>
          </w:p>
        </w:tc>
      </w:tr>
      <w:tr>
        <w:tc>
          <w:tcPr>
            <w:tcW w:type="dxa" w:w="3000"/>
            <w:tcBorders>
              <w:top w:val="single" w:color="AACCDD" w:sz="1"/>
              <w:left w:val="single" w:color="AACCDD" w:sz="1"/>
              <w:bottom w:val="single" w:color="AACCDD" w:sz="1"/>
              <w:right w:val="single" w:color="AACCDD" w:sz="1"/>
            </w:tcBorders>
            <w:shd w:fill="E8F4FD" w:val="clear"/>
            <w:tcMar>
              <w:top w:type="dxa" w:w="80"/>
              <w:left w:type="dxa" w:w="120"/>
              <w:bottom w:type="dxa" w:w="80"/>
              <w:right w:type="dxa" w:w="120"/>
            </w:tcMar>
          </w:tcPr>
          <w:p>
            <w:r>
              <w:rPr>
                <w:rFonts w:ascii="Arial" w:cs="Arial" w:eastAsia="Arial" w:hAnsi="Arial"/>
                <w:color w:val="1A1A2E"/>
                <w:sz w:val="19"/>
                <w:szCs w:val="19"/>
              </w:rPr>
              <w:t xml:space="preserve">Joven urbano en pobreza extrema sin perspectiva</w:t>
            </w:r>
          </w:p>
        </w:tc>
        <w:tc>
          <w:tcPr>
            <w:tcW w:type="dxa" w:w="3000"/>
            <w:tcBorders>
              <w:top w:val="single" w:color="AACCDD" w:sz="1"/>
              <w:left w:val="single" w:color="AACCDD" w:sz="1"/>
              <w:bottom w:val="single" w:color="AACCDD" w:sz="1"/>
              <w:right w:val="single" w:color="AACCDD" w:sz="1"/>
            </w:tcBorders>
            <w:shd w:fill="E8F4FD" w:val="clear"/>
            <w:tcMar>
              <w:top w:type="dxa" w:w="80"/>
              <w:left w:type="dxa" w:w="120"/>
              <w:bottom w:type="dxa" w:w="80"/>
              <w:right w:type="dxa" w:w="120"/>
            </w:tcMar>
          </w:tcPr>
          <w:p>
            <w:r>
              <w:rPr>
                <w:rFonts w:ascii="Arial" w:cs="Arial" w:eastAsia="Arial" w:hAnsi="Arial"/>
                <w:color w:val="1A1A2E"/>
                <w:sz w:val="19"/>
                <w:szCs w:val="19"/>
              </w:rPr>
              <w:t xml:space="preserve">Alta presión sin válvula productiva</w:t>
            </w:r>
          </w:p>
        </w:tc>
        <w:tc>
          <w:tcPr>
            <w:tcW w:type="dxa" w:w="3360"/>
            <w:tcBorders>
              <w:top w:val="single" w:color="AACCDD" w:sz="1"/>
              <w:left w:val="single" w:color="AACCDD" w:sz="1"/>
              <w:bottom w:val="single" w:color="AACCDD" w:sz="1"/>
              <w:right w:val="single" w:color="AACCDD" w:sz="1"/>
            </w:tcBorders>
            <w:shd w:fill="E8F4FD" w:val="clear"/>
            <w:tcMar>
              <w:top w:type="dxa" w:w="80"/>
              <w:left w:type="dxa" w:w="120"/>
              <w:bottom w:type="dxa" w:w="80"/>
              <w:right w:type="dxa" w:w="120"/>
            </w:tcMar>
          </w:tcPr>
          <w:p>
            <w:r>
              <w:rPr>
                <w:rFonts w:ascii="Arial" w:cs="Arial" w:eastAsia="Arial" w:hAnsi="Arial"/>
                <w:color w:val="1A1A2E"/>
                <w:sz w:val="19"/>
                <w:szCs w:val="19"/>
              </w:rPr>
              <w:t xml:space="preserve">Fricción: crimen, milicias, reclutamiento</w:t>
            </w:r>
          </w:p>
        </w:tc>
      </w:tr>
      <w:tr>
        <w:tc>
          <w:tcPr>
            <w:tcW w:type="dxa" w:w="300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Joven desplazado en campo de refugiados</w:t>
            </w:r>
          </w:p>
        </w:tc>
        <w:tc>
          <w:tcPr>
            <w:tcW w:type="dxa" w:w="300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Presión máxima, sistema cerrado</w:t>
            </w:r>
          </w:p>
        </w:tc>
        <w:tc>
          <w:tcPr>
            <w:tcW w:type="dxa" w:w="336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Cualquier canal disponible, incluyendo terrorismo</w:t>
            </w:r>
          </w:p>
        </w:tc>
      </w:tr>
    </w:tbl>
    <w:p>
      <w:pPr>
        <w:spacing w:after="80"/>
      </w:pPr>
    </w:p>
    <w:p>
      <w:pPr>
        <w:pStyle w:val="Heading1"/>
        <w:spacing w:after="180" w:before="400"/>
      </w:pPr>
      <w:r>
        <w:rPr>
          <w:rFonts w:ascii="Arial" w:cs="Arial" w:eastAsia="Arial" w:hAnsi="Arial"/>
          <w:b/>
          <w:bCs/>
          <w:color w:val="1A1A2E"/>
          <w:sz w:val="30"/>
          <w:szCs w:val="30"/>
        </w:rPr>
        <w:t xml:space="preserve">5. La Ayuda Humanitaria Clásica como Conservación del Excedente</w:t>
      </w:r>
    </w:p>
    <w:p>
      <w:pPr>
        <w:spacing w:after="120" w:before="60" w:line="276"/>
        <w:jc w:val="both"/>
      </w:pPr>
      <w:r>
        <w:rPr>
          <w:rFonts w:ascii="Arial" w:cs="Arial" w:eastAsia="Arial" w:hAnsi="Arial"/>
          <w:color w:val="1A1A2E"/>
          <w:sz w:val="21"/>
          <w:szCs w:val="21"/>
        </w:rPr>
        <w:t xml:space="preserve">La ayuda humanitaria internacional tal como se practica desde la segunda mitad del siglo XX constituye, analizada termodinámicamente, un sistema de conservación del excedente humano. No de su emancipación.</w:t>
      </w:r>
    </w:p>
    <w:p>
      <w:pPr>
        <w:spacing w:after="120" w:before="60" w:line="276"/>
        <w:jc w:val="both"/>
      </w:pPr>
      <w:r>
        <w:rPr>
          <w:rFonts w:ascii="Arial" w:cs="Arial" w:eastAsia="Arial" w:hAnsi="Arial"/>
          <w:color w:val="1A1A2E"/>
          <w:sz w:val="21"/>
          <w:szCs w:val="21"/>
        </w:rPr>
        <w:t xml:space="preserve">Esta afirmación no es un juicio moral sobre las intenciones de quienes la practican. Es una descripción mecánica de sus efectos sistémicos. La ayuda alimentaria, los campos de refugiados y la asistencia gubernamental directa comparten una propiedad termodinámica común: mantienen con vida al agente pero no modifican las condiciones del gradiente que produjo su situación.</w:t>
      </w:r>
    </w:p>
    <w:p>
      <w:pPr>
        <w:pBdr>
          <w:left w:val="single" w:color="1A4A7A" w:sz="6" w:space="8"/>
        </w:pBdr>
        <w:spacing w:after="160" w:before="160"/>
        <w:ind w:left="480" w:right="480"/>
        <w:jc w:val="center"/>
      </w:pPr>
      <w:r>
        <w:rPr>
          <w:rFonts w:ascii="Arial" w:cs="Arial" w:eastAsia="Arial" w:hAnsi="Arial"/>
          <w:b/>
          <w:bCs/>
          <w:i/>
          <w:iCs/>
          <w:color w:val="2E4A6E"/>
          <w:sz w:val="21"/>
          <w:szCs w:val="21"/>
        </w:rPr>
        <w:t xml:space="preserve">La ayuda clásica mantiene vivo al pobre para que siga siendo pobre y disponible. Es un sistema de mantenimiento del excedente humano, no de su liberación.</w:t>
      </w:r>
    </w:p>
    <w:p>
      <w:pPr>
        <w:pStyle w:val="Heading2"/>
        <w:spacing w:after="130" w:before="260"/>
      </w:pPr>
      <w:r>
        <w:rPr>
          <w:rFonts w:ascii="Arial" w:cs="Arial" w:eastAsia="Arial" w:hAnsi="Arial"/>
          <w:b/>
          <w:bCs/>
          <w:color w:val="16213E"/>
          <w:sz w:val="24"/>
          <w:szCs w:val="24"/>
        </w:rPr>
        <w:t xml:space="preserve">5.1 El Clientelismo como Gradiente Artificial</w:t>
      </w:r>
    </w:p>
    <w:p>
      <w:pPr>
        <w:spacing w:after="120" w:before="60" w:line="276"/>
        <w:jc w:val="both"/>
      </w:pPr>
      <w:r>
        <w:rPr>
          <w:rFonts w:ascii="Arial" w:cs="Arial" w:eastAsia="Arial" w:hAnsi="Arial"/>
          <w:color w:val="1A1A2E"/>
          <w:sz w:val="21"/>
          <w:szCs w:val="21"/>
        </w:rPr>
        <w:t xml:space="preserve">Cuando la ayuda se canaliza a través de estructuras gubernamentales o políticas, reproduce exactamente el experimento de Gombe [9]: introduce un gradiente artificial de recurso concentrado en un punto fijo al que el receptor debe acudir periódicamente. Esto genera dependencia, no autonomía. Genera clientelismo, no ciudadanía.</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40"/>
        <w:gridCol w:w="2040"/>
        <w:gridCol w:w="2880"/>
      </w:tblGrid>
      <w:tr>
        <w:trPr>
          <w:tblHeader/>
        </w:trPr>
        <w:tc>
          <w:tcPr>
            <w:tcW w:type="dxa" w:w="2400"/>
            <w:tcBorders>
              <w:top w:val="single" w:color="AACCDD" w:sz="1"/>
              <w:left w:val="single" w:color="AACCDD" w:sz="1"/>
              <w:bottom w:val="single" w:color="AACCDD" w:sz="1"/>
              <w:right w:val="single" w:color="AACCDD" w:sz="1"/>
            </w:tcBorders>
            <w:shd w:fill="1A4A7A" w:val="clear"/>
            <w:tcMar>
              <w:top w:type="dxa" w:w="80"/>
              <w:left w:type="dxa" w:w="120"/>
              <w:bottom w:type="dxa" w:w="80"/>
              <w:right w:type="dxa" w:w="120"/>
            </w:tcMar>
          </w:tcPr>
          <w:p>
            <w:r>
              <w:rPr>
                <w:rFonts w:ascii="Arial" w:cs="Arial" w:eastAsia="Arial" w:hAnsi="Arial"/>
                <w:b/>
                <w:bCs/>
                <w:color w:val="FFFFFF"/>
                <w:sz w:val="19"/>
                <w:szCs w:val="19"/>
              </w:rPr>
              <w:t xml:space="preserve">Tipo de intervención</w:t>
            </w:r>
          </w:p>
        </w:tc>
        <w:tc>
          <w:tcPr>
            <w:tcW w:type="dxa" w:w="2040"/>
            <w:tcBorders>
              <w:top w:val="single" w:color="AACCDD" w:sz="1"/>
              <w:left w:val="single" w:color="AACCDD" w:sz="1"/>
              <w:bottom w:val="single" w:color="AACCDD" w:sz="1"/>
              <w:right w:val="single" w:color="AACCDD" w:sz="1"/>
            </w:tcBorders>
            <w:shd w:fill="1A4A7A" w:val="clear"/>
            <w:tcMar>
              <w:top w:type="dxa" w:w="80"/>
              <w:left w:type="dxa" w:w="120"/>
              <w:bottom w:type="dxa" w:w="80"/>
              <w:right w:type="dxa" w:w="120"/>
            </w:tcMar>
          </w:tcPr>
          <w:p>
            <w:r>
              <w:rPr>
                <w:rFonts w:ascii="Arial" w:cs="Arial" w:eastAsia="Arial" w:hAnsi="Arial"/>
                <w:b/>
                <w:bCs/>
                <w:color w:val="FFFFFF"/>
                <w:sz w:val="19"/>
                <w:szCs w:val="19"/>
              </w:rPr>
              <w:t xml:space="preserve">Efecto sobre el gradiente</w:t>
            </w:r>
          </w:p>
        </w:tc>
        <w:tc>
          <w:tcPr>
            <w:tcW w:type="dxa" w:w="2040"/>
            <w:tcBorders>
              <w:top w:val="single" w:color="AACCDD" w:sz="1"/>
              <w:left w:val="single" w:color="AACCDD" w:sz="1"/>
              <w:bottom w:val="single" w:color="AACCDD" w:sz="1"/>
              <w:right w:val="single" w:color="AACCDD" w:sz="1"/>
            </w:tcBorders>
            <w:shd w:fill="1A4A7A" w:val="clear"/>
            <w:tcMar>
              <w:top w:type="dxa" w:w="80"/>
              <w:left w:type="dxa" w:w="120"/>
              <w:bottom w:type="dxa" w:w="80"/>
              <w:right w:type="dxa" w:w="120"/>
            </w:tcMar>
          </w:tcPr>
          <w:p>
            <w:r>
              <w:rPr>
                <w:rFonts w:ascii="Arial" w:cs="Arial" w:eastAsia="Arial" w:hAnsi="Arial"/>
                <w:b/>
                <w:bCs/>
                <w:color w:val="FFFFFF"/>
                <w:sz w:val="19"/>
                <w:szCs w:val="19"/>
              </w:rPr>
              <w:t xml:space="preserve">Efecto sobre la autonomía</w:t>
            </w:r>
          </w:p>
        </w:tc>
        <w:tc>
          <w:tcPr>
            <w:tcW w:type="dxa" w:w="2880"/>
            <w:tcBorders>
              <w:top w:val="single" w:color="AACCDD" w:sz="1"/>
              <w:left w:val="single" w:color="AACCDD" w:sz="1"/>
              <w:bottom w:val="single" w:color="AACCDD" w:sz="1"/>
              <w:right w:val="single" w:color="AACCDD" w:sz="1"/>
            </w:tcBorders>
            <w:shd w:fill="1A4A7A" w:val="clear"/>
            <w:tcMar>
              <w:top w:type="dxa" w:w="80"/>
              <w:left w:type="dxa" w:w="120"/>
              <w:bottom w:type="dxa" w:w="80"/>
              <w:right w:type="dxa" w:w="120"/>
            </w:tcMar>
          </w:tcPr>
          <w:p>
            <w:r>
              <w:rPr>
                <w:rFonts w:ascii="Arial" w:cs="Arial" w:eastAsia="Arial" w:hAnsi="Arial"/>
                <w:b/>
                <w:bCs/>
                <w:color w:val="FFFFFF"/>
                <w:sz w:val="19"/>
                <w:szCs w:val="19"/>
              </w:rPr>
              <w:t xml:space="preserve">Resultado sistémico</w:t>
            </w:r>
          </w:p>
        </w:tc>
      </w:tr>
      <w:tr>
        <w:tc>
          <w:tcPr>
            <w:tcW w:type="dxa" w:w="2400"/>
            <w:tcBorders>
              <w:top w:val="single" w:color="AACCDD" w:sz="1"/>
              <w:left w:val="single" w:color="AACCDD" w:sz="1"/>
              <w:bottom w:val="single" w:color="AACCDD" w:sz="1"/>
              <w:right w:val="single" w:color="AACCDD" w:sz="1"/>
            </w:tcBorders>
            <w:shd w:fill="E8F4FD" w:val="clear"/>
            <w:tcMar>
              <w:top w:type="dxa" w:w="80"/>
              <w:left w:type="dxa" w:w="120"/>
              <w:bottom w:type="dxa" w:w="80"/>
              <w:right w:type="dxa" w:w="120"/>
            </w:tcMar>
          </w:tcPr>
          <w:p>
            <w:r>
              <w:rPr>
                <w:rFonts w:ascii="Arial" w:cs="Arial" w:eastAsia="Arial" w:hAnsi="Arial"/>
                <w:color w:val="1A1A2E"/>
                <w:sz w:val="19"/>
                <w:szCs w:val="19"/>
              </w:rPr>
              <w:t xml:space="preserve">Ayuda alimentaria directa</w:t>
            </w:r>
          </w:p>
        </w:tc>
        <w:tc>
          <w:tcPr>
            <w:tcW w:type="dxa" w:w="2040"/>
            <w:tcBorders>
              <w:top w:val="single" w:color="AACCDD" w:sz="1"/>
              <w:left w:val="single" w:color="AACCDD" w:sz="1"/>
              <w:bottom w:val="single" w:color="AACCDD" w:sz="1"/>
              <w:right w:val="single" w:color="AACCDD" w:sz="1"/>
            </w:tcBorders>
            <w:shd w:fill="E8F4FD" w:val="clear"/>
            <w:tcMar>
              <w:top w:type="dxa" w:w="80"/>
              <w:left w:type="dxa" w:w="120"/>
              <w:bottom w:type="dxa" w:w="80"/>
              <w:right w:type="dxa" w:w="120"/>
            </w:tcMar>
          </w:tcPr>
          <w:p>
            <w:r>
              <w:rPr>
                <w:rFonts w:ascii="Arial" w:cs="Arial" w:eastAsia="Arial" w:hAnsi="Arial"/>
                <w:color w:val="1A1A2E"/>
                <w:sz w:val="19"/>
                <w:szCs w:val="19"/>
              </w:rPr>
              <w:t xml:space="preserve">Sin cambio</w:t>
            </w:r>
          </w:p>
        </w:tc>
        <w:tc>
          <w:tcPr>
            <w:tcW w:type="dxa" w:w="2040"/>
            <w:tcBorders>
              <w:top w:val="single" w:color="AACCDD" w:sz="1"/>
              <w:left w:val="single" w:color="AACCDD" w:sz="1"/>
              <w:bottom w:val="single" w:color="AACCDD" w:sz="1"/>
              <w:right w:val="single" w:color="AACCDD" w:sz="1"/>
            </w:tcBorders>
            <w:shd w:fill="E8F4FD" w:val="clear"/>
            <w:tcMar>
              <w:top w:type="dxa" w:w="80"/>
              <w:left w:type="dxa" w:w="120"/>
              <w:bottom w:type="dxa" w:w="80"/>
              <w:right w:type="dxa" w:w="120"/>
            </w:tcMar>
          </w:tcPr>
          <w:p>
            <w:r>
              <w:rPr>
                <w:rFonts w:ascii="Arial" w:cs="Arial" w:eastAsia="Arial" w:hAnsi="Arial"/>
                <w:color w:val="1A1A2E"/>
                <w:sz w:val="19"/>
                <w:szCs w:val="19"/>
              </w:rPr>
              <w:t xml:space="preserve">Reduce</w:t>
            </w:r>
          </w:p>
        </w:tc>
        <w:tc>
          <w:tcPr>
            <w:tcW w:type="dxa" w:w="2880"/>
            <w:tcBorders>
              <w:top w:val="single" w:color="AACCDD" w:sz="1"/>
              <w:left w:val="single" w:color="AACCDD" w:sz="1"/>
              <w:bottom w:val="single" w:color="AACCDD" w:sz="1"/>
              <w:right w:val="single" w:color="AACCDD" w:sz="1"/>
            </w:tcBorders>
            <w:shd w:fill="E8F4FD" w:val="clear"/>
            <w:tcMar>
              <w:top w:type="dxa" w:w="80"/>
              <w:left w:type="dxa" w:w="120"/>
              <w:bottom w:type="dxa" w:w="80"/>
              <w:right w:type="dxa" w:w="120"/>
            </w:tcMar>
          </w:tcPr>
          <w:p>
            <w:r>
              <w:rPr>
                <w:rFonts w:ascii="Arial" w:cs="Arial" w:eastAsia="Arial" w:hAnsi="Arial"/>
                <w:color w:val="1A1A2E"/>
                <w:sz w:val="19"/>
                <w:szCs w:val="19"/>
              </w:rPr>
              <w:t xml:space="preserve">Dependencia de ciclo corto</w:t>
            </w:r>
          </w:p>
        </w:tc>
      </w:tr>
      <w:tr>
        <w:tc>
          <w:tcPr>
            <w:tcW w:type="dxa" w:w="240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Subsidio gubernamental recurrente</w:t>
            </w:r>
          </w:p>
        </w:tc>
        <w:tc>
          <w:tcPr>
            <w:tcW w:type="dxa" w:w="204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Gradiente artificial nuevo</w:t>
            </w:r>
          </w:p>
        </w:tc>
        <w:tc>
          <w:tcPr>
            <w:tcW w:type="dxa" w:w="204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Elimina</w:t>
            </w:r>
          </w:p>
        </w:tc>
        <w:tc>
          <w:tcPr>
            <w:tcW w:type="dxa" w:w="288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Clientelismo estructural</w:t>
            </w:r>
          </w:p>
        </w:tc>
      </w:tr>
      <w:tr>
        <w:tc>
          <w:tcPr>
            <w:tcW w:type="dxa" w:w="2400"/>
            <w:tcBorders>
              <w:top w:val="single" w:color="AACCDD" w:sz="1"/>
              <w:left w:val="single" w:color="AACCDD" w:sz="1"/>
              <w:bottom w:val="single" w:color="AACCDD" w:sz="1"/>
              <w:right w:val="single" w:color="AACCDD" w:sz="1"/>
            </w:tcBorders>
            <w:shd w:fill="E8F4FD" w:val="clear"/>
            <w:tcMar>
              <w:top w:type="dxa" w:w="80"/>
              <w:left w:type="dxa" w:w="120"/>
              <w:bottom w:type="dxa" w:w="80"/>
              <w:right w:type="dxa" w:w="120"/>
            </w:tcMar>
          </w:tcPr>
          <w:p>
            <w:r>
              <w:rPr>
                <w:rFonts w:ascii="Arial" w:cs="Arial" w:eastAsia="Arial" w:hAnsi="Arial"/>
                <w:color w:val="1A1A2E"/>
                <w:sz w:val="19"/>
                <w:szCs w:val="19"/>
              </w:rPr>
              <w:t xml:space="preserve">Transferencia monetaria condicionada</w:t>
            </w:r>
          </w:p>
        </w:tc>
        <w:tc>
          <w:tcPr>
            <w:tcW w:type="dxa" w:w="2040"/>
            <w:tcBorders>
              <w:top w:val="single" w:color="AACCDD" w:sz="1"/>
              <w:left w:val="single" w:color="AACCDD" w:sz="1"/>
              <w:bottom w:val="single" w:color="AACCDD" w:sz="1"/>
              <w:right w:val="single" w:color="AACCDD" w:sz="1"/>
            </w:tcBorders>
            <w:shd w:fill="E8F4FD" w:val="clear"/>
            <w:tcMar>
              <w:top w:type="dxa" w:w="80"/>
              <w:left w:type="dxa" w:w="120"/>
              <w:bottom w:type="dxa" w:w="80"/>
              <w:right w:type="dxa" w:w="120"/>
            </w:tcMar>
          </w:tcPr>
          <w:p>
            <w:r>
              <w:rPr>
                <w:rFonts w:ascii="Arial" w:cs="Arial" w:eastAsia="Arial" w:hAnsi="Arial"/>
                <w:color w:val="1A1A2E"/>
                <w:sz w:val="19"/>
                <w:szCs w:val="19"/>
              </w:rPr>
              <w:t xml:space="preserve">Sin cambio estructural</w:t>
            </w:r>
          </w:p>
        </w:tc>
        <w:tc>
          <w:tcPr>
            <w:tcW w:type="dxa" w:w="2040"/>
            <w:tcBorders>
              <w:top w:val="single" w:color="AACCDD" w:sz="1"/>
              <w:left w:val="single" w:color="AACCDD" w:sz="1"/>
              <w:bottom w:val="single" w:color="AACCDD" w:sz="1"/>
              <w:right w:val="single" w:color="AACCDD" w:sz="1"/>
            </w:tcBorders>
            <w:shd w:fill="E8F4FD" w:val="clear"/>
            <w:tcMar>
              <w:top w:type="dxa" w:w="80"/>
              <w:left w:type="dxa" w:w="120"/>
              <w:bottom w:type="dxa" w:w="80"/>
              <w:right w:type="dxa" w:w="120"/>
            </w:tcMar>
          </w:tcPr>
          <w:p>
            <w:r>
              <w:rPr>
                <w:rFonts w:ascii="Arial" w:cs="Arial" w:eastAsia="Arial" w:hAnsi="Arial"/>
                <w:color w:val="1A1A2E"/>
                <w:sz w:val="19"/>
                <w:szCs w:val="19"/>
              </w:rPr>
              <w:t xml:space="preserve">Parcial</w:t>
            </w:r>
          </w:p>
        </w:tc>
        <w:tc>
          <w:tcPr>
            <w:tcW w:type="dxa" w:w="2880"/>
            <w:tcBorders>
              <w:top w:val="single" w:color="AACCDD" w:sz="1"/>
              <w:left w:val="single" w:color="AACCDD" w:sz="1"/>
              <w:bottom w:val="single" w:color="AACCDD" w:sz="1"/>
              <w:right w:val="single" w:color="AACCDD" w:sz="1"/>
            </w:tcBorders>
            <w:shd w:fill="E8F4FD" w:val="clear"/>
            <w:tcMar>
              <w:top w:type="dxa" w:w="80"/>
              <w:left w:type="dxa" w:w="120"/>
              <w:bottom w:type="dxa" w:w="80"/>
              <w:right w:type="dxa" w:w="120"/>
            </w:tcMar>
          </w:tcPr>
          <w:p>
            <w:r>
              <w:rPr>
                <w:rFonts w:ascii="Arial" w:cs="Arial" w:eastAsia="Arial" w:hAnsi="Arial"/>
                <w:color w:val="1A1A2E"/>
                <w:sz w:val="19"/>
                <w:szCs w:val="19"/>
              </w:rPr>
              <w:t xml:space="preserve">Consumo sin producción</w:t>
            </w:r>
          </w:p>
        </w:tc>
      </w:tr>
      <w:tr>
        <w:tc>
          <w:tcPr>
            <w:tcW w:type="dxa" w:w="240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Inyección Disipativa Distribuida (IDD)</w:t>
            </w:r>
          </w:p>
        </w:tc>
        <w:tc>
          <w:tcPr>
            <w:tcW w:type="dxa" w:w="204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Reduce en origen</w:t>
            </w:r>
          </w:p>
        </w:tc>
        <w:tc>
          <w:tcPr>
            <w:tcW w:type="dxa" w:w="204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Aumenta</w:t>
            </w:r>
          </w:p>
        </w:tc>
        <w:tc>
          <w:tcPr>
            <w:tcW w:type="dxa" w:w="288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Autonomía productiva sostenida</w:t>
            </w:r>
          </w:p>
        </w:tc>
      </w:tr>
    </w:tbl>
    <w:p>
      <w:pPr>
        <w:spacing w:after="80"/>
      </w:pPr>
    </w:p>
    <w:p>
      <w:pPr>
        <w:pStyle w:val="Heading1"/>
        <w:spacing w:after="180" w:before="400"/>
      </w:pPr>
      <w:r>
        <w:rPr>
          <w:rFonts w:ascii="Arial" w:cs="Arial" w:eastAsia="Arial" w:hAnsi="Arial"/>
          <w:b/>
          <w:bCs/>
          <w:color w:val="1A1A2E"/>
          <w:sz w:val="30"/>
          <w:szCs w:val="30"/>
        </w:rPr>
        <w:t xml:space="preserve">6. Inyección Disipativa Distribuida (IDD)</w:t>
      </w:r>
    </w:p>
    <w:p>
      <w:pPr>
        <w:spacing w:after="120" w:before="60" w:line="276"/>
        <w:jc w:val="both"/>
      </w:pPr>
      <w:r>
        <w:rPr>
          <w:rFonts w:ascii="Arial" w:cs="Arial" w:eastAsia="Arial" w:hAnsi="Arial"/>
          <w:color w:val="1A1A2E"/>
          <w:sz w:val="21"/>
          <w:szCs w:val="21"/>
        </w:rPr>
        <w:t xml:space="preserve">La Inyección Disipativa Distribuida es el mecanismo de intervención que emerge directamente del Modelo Termodinámico Social cuando se aplica el criterio correcto: no aliviar la presión temporalmente, sino modificar las condiciones que la generan.</w:t>
      </w:r>
    </w:p>
    <w:p>
      <w:pPr>
        <w:spacing w:after="120" w:before="60" w:line="276"/>
        <w:jc w:val="both"/>
      </w:pPr>
      <w:r>
        <w:rPr>
          <w:rFonts w:ascii="Arial" w:cs="Arial" w:eastAsia="Arial" w:hAnsi="Arial"/>
          <w:color w:val="1A1A2E"/>
          <w:sz w:val="21"/>
          <w:szCs w:val="21"/>
        </w:rPr>
        <w:t xml:space="preserve">La IDD no transfiere recursos consumibles. Transfiere capacidad productiva autónoma. La diferencia termodinámica es fundamental: el alimento se consume y desaparece, dejando el sistema en el mismo estado energético que antes de la intervención. Una herramienta genera trabajo útil indefinidamente mientras el agente conserve la capacidad de operarla.</w:t>
      </w:r>
    </w:p>
    <w:p>
      <w:pPr>
        <w:pBdr>
          <w:left w:val="single" w:color="1A4A7A" w:sz="6" w:space="8"/>
        </w:pBdr>
        <w:spacing w:after="160" w:before="160"/>
        <w:ind w:left="480" w:right="480"/>
        <w:jc w:val="center"/>
      </w:pPr>
      <w:r>
        <w:rPr>
          <w:rFonts w:ascii="Arial" w:cs="Arial" w:eastAsia="Arial" w:hAnsi="Arial"/>
          <w:b/>
          <w:bCs/>
          <w:i/>
          <w:iCs/>
          <w:color w:val="2E4A6E"/>
          <w:sz w:val="21"/>
          <w:szCs w:val="21"/>
        </w:rPr>
        <w:t xml:space="preserve">No das peces. No enseñas a pescar. Das la red, el bote, el motor y el mapa. Y te vas. La autonomía no se enseña. Se posibilita.</w:t>
      </w:r>
    </w:p>
    <w:p>
      <w:pPr>
        <w:pStyle w:val="Heading2"/>
        <w:spacing w:after="130" w:before="260"/>
      </w:pPr>
      <w:r>
        <w:rPr>
          <w:rFonts w:ascii="Arial" w:cs="Arial" w:eastAsia="Arial" w:hAnsi="Arial"/>
          <w:b/>
          <w:bCs/>
          <w:color w:val="16213E"/>
          <w:sz w:val="24"/>
          <w:szCs w:val="24"/>
        </w:rPr>
        <w:t xml:space="preserve">6.1 El Contenido de la Inyección</w:t>
      </w:r>
    </w:p>
    <w:p>
      <w:pPr>
        <w:spacing w:after="120" w:before="60" w:line="276"/>
        <w:jc w:val="both"/>
      </w:pPr>
      <w:r>
        <w:rPr>
          <w:rFonts w:ascii="Arial" w:cs="Arial" w:eastAsia="Arial" w:hAnsi="Arial"/>
          <w:color w:val="1A1A2E"/>
          <w:sz w:val="21"/>
          <w:szCs w:val="21"/>
        </w:rPr>
        <w:t xml:space="preserve">La IDD opera con tres categorías de insumos que se complementan termodinámicamente. Ninguna funciona sola. Las tres juntas crean un sistema disipativo autónomo de ciclo cerrado.</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160"/>
      </w:tblGrid>
      <w:tr>
        <w:trPr>
          <w:tblHeader/>
        </w:trPr>
        <w:tc>
          <w:tcPr>
            <w:tcW w:type="dxa" w:w="2800"/>
            <w:tcBorders>
              <w:top w:val="single" w:color="AACCDD" w:sz="1"/>
              <w:left w:val="single" w:color="AACCDD" w:sz="1"/>
              <w:bottom w:val="single" w:color="AACCDD" w:sz="1"/>
              <w:right w:val="single" w:color="AACCDD" w:sz="1"/>
            </w:tcBorders>
            <w:shd w:fill="1A4A7A" w:val="clear"/>
            <w:tcMar>
              <w:top w:type="dxa" w:w="80"/>
              <w:left w:type="dxa" w:w="120"/>
              <w:bottom w:type="dxa" w:w="80"/>
              <w:right w:type="dxa" w:w="120"/>
            </w:tcMar>
          </w:tcPr>
          <w:p>
            <w:r>
              <w:rPr>
                <w:rFonts w:ascii="Arial" w:cs="Arial" w:eastAsia="Arial" w:hAnsi="Arial"/>
                <w:b/>
                <w:bCs/>
                <w:color w:val="FFFFFF"/>
                <w:sz w:val="19"/>
                <w:szCs w:val="19"/>
              </w:rPr>
              <w:t xml:space="preserve">Categoría</w:t>
            </w:r>
          </w:p>
        </w:tc>
        <w:tc>
          <w:tcPr>
            <w:tcW w:type="dxa" w:w="3400"/>
            <w:tcBorders>
              <w:top w:val="single" w:color="AACCDD" w:sz="1"/>
              <w:left w:val="single" w:color="AACCDD" w:sz="1"/>
              <w:bottom w:val="single" w:color="AACCDD" w:sz="1"/>
              <w:right w:val="single" w:color="AACCDD" w:sz="1"/>
            </w:tcBorders>
            <w:shd w:fill="1A4A7A" w:val="clear"/>
            <w:tcMar>
              <w:top w:type="dxa" w:w="80"/>
              <w:left w:type="dxa" w:w="120"/>
              <w:bottom w:type="dxa" w:w="80"/>
              <w:right w:type="dxa" w:w="120"/>
            </w:tcMar>
          </w:tcPr>
          <w:p>
            <w:r>
              <w:rPr>
                <w:rFonts w:ascii="Arial" w:cs="Arial" w:eastAsia="Arial" w:hAnsi="Arial"/>
                <w:b/>
                <w:bCs/>
                <w:color w:val="FFFFFF"/>
                <w:sz w:val="19"/>
                <w:szCs w:val="19"/>
              </w:rPr>
              <w:t xml:space="preserve">Contenido concreto</w:t>
            </w:r>
          </w:p>
        </w:tc>
        <w:tc>
          <w:tcPr>
            <w:tcW w:type="dxa" w:w="3160"/>
            <w:tcBorders>
              <w:top w:val="single" w:color="AACCDD" w:sz="1"/>
              <w:left w:val="single" w:color="AACCDD" w:sz="1"/>
              <w:bottom w:val="single" w:color="AACCDD" w:sz="1"/>
              <w:right w:val="single" w:color="AACCDD" w:sz="1"/>
            </w:tcBorders>
            <w:shd w:fill="1A4A7A" w:val="clear"/>
            <w:tcMar>
              <w:top w:type="dxa" w:w="80"/>
              <w:left w:type="dxa" w:w="120"/>
              <w:bottom w:type="dxa" w:w="80"/>
              <w:right w:type="dxa" w:w="120"/>
            </w:tcMar>
          </w:tcPr>
          <w:p>
            <w:r>
              <w:rPr>
                <w:rFonts w:ascii="Arial" w:cs="Arial" w:eastAsia="Arial" w:hAnsi="Arial"/>
                <w:b/>
                <w:bCs/>
                <w:color w:val="FFFFFF"/>
                <w:sz w:val="19"/>
                <w:szCs w:val="19"/>
              </w:rPr>
              <w:t xml:space="preserve">Función termodinámica</w:t>
            </w:r>
          </w:p>
        </w:tc>
      </w:tr>
      <w:tr>
        <w:tc>
          <w:tcPr>
            <w:tcW w:type="dxa" w:w="2800"/>
            <w:tcBorders>
              <w:top w:val="single" w:color="AACCDD" w:sz="1"/>
              <w:left w:val="single" w:color="AACCDD" w:sz="1"/>
              <w:bottom w:val="single" w:color="AACCDD" w:sz="1"/>
              <w:right w:val="single" w:color="AACCDD" w:sz="1"/>
            </w:tcBorders>
            <w:shd w:fill="E8F4FD" w:val="clear"/>
            <w:tcMar>
              <w:top w:type="dxa" w:w="80"/>
              <w:left w:type="dxa" w:w="120"/>
              <w:bottom w:type="dxa" w:w="80"/>
              <w:right w:type="dxa" w:w="120"/>
            </w:tcMar>
          </w:tcPr>
          <w:p>
            <w:r>
              <w:rPr>
                <w:rFonts w:ascii="Arial" w:cs="Arial" w:eastAsia="Arial" w:hAnsi="Arial"/>
                <w:color w:val="1A1A2E"/>
                <w:sz w:val="19"/>
                <w:szCs w:val="19"/>
              </w:rPr>
              <w:t xml:space="preserve">Herramientas manuales básicas</w:t>
            </w:r>
          </w:p>
        </w:tc>
        <w:tc>
          <w:tcPr>
            <w:tcW w:type="dxa" w:w="3400"/>
            <w:tcBorders>
              <w:top w:val="single" w:color="AACCDD" w:sz="1"/>
              <w:left w:val="single" w:color="AACCDD" w:sz="1"/>
              <w:bottom w:val="single" w:color="AACCDD" w:sz="1"/>
              <w:right w:val="single" w:color="AACCDD" w:sz="1"/>
            </w:tcBorders>
            <w:shd w:fill="E8F4FD" w:val="clear"/>
            <w:tcMar>
              <w:top w:type="dxa" w:w="80"/>
              <w:left w:type="dxa" w:w="120"/>
              <w:bottom w:type="dxa" w:w="80"/>
              <w:right w:type="dxa" w:w="120"/>
            </w:tcMar>
          </w:tcPr>
          <w:p>
            <w:r>
              <w:rPr>
                <w:rFonts w:ascii="Arial" w:cs="Arial" w:eastAsia="Arial" w:hAnsi="Arial"/>
                <w:color w:val="1A1A2E"/>
                <w:sz w:val="19"/>
                <w:szCs w:val="19"/>
              </w:rPr>
              <w:t xml:space="preserve">Tornillos, manos, tubos, bombas, semillas, cables, soldadura básica</w:t>
            </w:r>
          </w:p>
        </w:tc>
        <w:tc>
          <w:tcPr>
            <w:tcW w:type="dxa" w:w="3160"/>
            <w:tcBorders>
              <w:top w:val="single" w:color="AACCDD" w:sz="1"/>
              <w:left w:val="single" w:color="AACCDD" w:sz="1"/>
              <w:bottom w:val="single" w:color="AACCDD" w:sz="1"/>
              <w:right w:val="single" w:color="AACCDD" w:sz="1"/>
            </w:tcBorders>
            <w:shd w:fill="E8F4FD" w:val="clear"/>
            <w:tcMar>
              <w:top w:type="dxa" w:w="80"/>
              <w:left w:type="dxa" w:w="120"/>
              <w:bottom w:type="dxa" w:w="80"/>
              <w:right w:type="dxa" w:w="120"/>
            </w:tcMar>
          </w:tcPr>
          <w:p>
            <w:r>
              <w:rPr>
                <w:rFonts w:ascii="Arial" w:cs="Arial" w:eastAsia="Arial" w:hAnsi="Arial"/>
                <w:color w:val="1A1A2E"/>
                <w:sz w:val="19"/>
                <w:szCs w:val="19"/>
              </w:rPr>
              <w:t xml:space="preserve">Capacidad de construir y mantener infraestructura propia</w:t>
            </w:r>
          </w:p>
        </w:tc>
      </w:tr>
      <w:tr>
        <w:tc>
          <w:tcPr>
            <w:tcW w:type="dxa" w:w="280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Tecnología replicable open source</w:t>
            </w:r>
          </w:p>
        </w:tc>
        <w:tc>
          <w:tcPr>
            <w:tcW w:type="dxa" w:w="340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Colectores RTU, sistemas de captación de agua, biodigestores, impresoras básicas</w:t>
            </w:r>
          </w:p>
        </w:tc>
        <w:tc>
          <w:tcPr>
            <w:tcW w:type="dxa" w:w="316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Energía y agua autónomas sin dependencia de red externa</w:t>
            </w:r>
          </w:p>
        </w:tc>
      </w:tr>
      <w:tr>
        <w:tc>
          <w:tcPr>
            <w:tcW w:type="dxa" w:w="2800"/>
            <w:tcBorders>
              <w:top w:val="single" w:color="AACCDD" w:sz="1"/>
              <w:left w:val="single" w:color="AACCDD" w:sz="1"/>
              <w:bottom w:val="single" w:color="AACCDD" w:sz="1"/>
              <w:right w:val="single" w:color="AACCDD" w:sz="1"/>
            </w:tcBorders>
            <w:shd w:fill="E8F4FD" w:val="clear"/>
            <w:tcMar>
              <w:top w:type="dxa" w:w="80"/>
              <w:left w:type="dxa" w:w="120"/>
              <w:bottom w:type="dxa" w:w="80"/>
              <w:right w:type="dxa" w:w="120"/>
            </w:tcMar>
          </w:tcPr>
          <w:p>
            <w:r>
              <w:rPr>
                <w:rFonts w:ascii="Arial" w:cs="Arial" w:eastAsia="Arial" w:hAnsi="Arial"/>
                <w:color w:val="1A1A2E"/>
                <w:sz w:val="19"/>
                <w:szCs w:val="19"/>
              </w:rPr>
              <w:t xml:space="preserve">Conocimiento transferible</w:t>
            </w:r>
          </w:p>
        </w:tc>
        <w:tc>
          <w:tcPr>
            <w:tcW w:type="dxa" w:w="3400"/>
            <w:tcBorders>
              <w:top w:val="single" w:color="AACCDD" w:sz="1"/>
              <w:left w:val="single" w:color="AACCDD" w:sz="1"/>
              <w:bottom w:val="single" w:color="AACCDD" w:sz="1"/>
              <w:right w:val="single" w:color="AACCDD" w:sz="1"/>
            </w:tcBorders>
            <w:shd w:fill="E8F4FD" w:val="clear"/>
            <w:tcMar>
              <w:top w:type="dxa" w:w="80"/>
              <w:left w:type="dxa" w:w="120"/>
              <w:bottom w:type="dxa" w:w="80"/>
              <w:right w:type="dxa" w:w="120"/>
            </w:tcMar>
          </w:tcPr>
          <w:p>
            <w:r>
              <w:rPr>
                <w:rFonts w:ascii="Arial" w:cs="Arial" w:eastAsia="Arial" w:hAnsi="Arial"/>
                <w:color w:val="1A1A2E"/>
                <w:sz w:val="19"/>
                <w:szCs w:val="19"/>
              </w:rPr>
              <w:t xml:space="preserve">Capacitación práctica en construcción, producción, conservación y reparación</w:t>
            </w:r>
          </w:p>
        </w:tc>
        <w:tc>
          <w:tcPr>
            <w:tcW w:type="dxa" w:w="3160"/>
            <w:tcBorders>
              <w:top w:val="single" w:color="AACCDD" w:sz="1"/>
              <w:left w:val="single" w:color="AACCDD" w:sz="1"/>
              <w:bottom w:val="single" w:color="AACCDD" w:sz="1"/>
              <w:right w:val="single" w:color="AACCDD" w:sz="1"/>
            </w:tcBorders>
            <w:shd w:fill="E8F4FD" w:val="clear"/>
            <w:tcMar>
              <w:top w:type="dxa" w:w="80"/>
              <w:left w:type="dxa" w:w="120"/>
              <w:bottom w:type="dxa" w:w="80"/>
              <w:right w:type="dxa" w:w="120"/>
            </w:tcMar>
          </w:tcPr>
          <w:p>
            <w:r>
              <w:rPr>
                <w:rFonts w:ascii="Arial" w:cs="Arial" w:eastAsia="Arial" w:hAnsi="Arial"/>
                <w:color w:val="1A1A2E"/>
                <w:sz w:val="19"/>
                <w:szCs w:val="19"/>
              </w:rPr>
              <w:t xml:space="preserve">Viscosidad interna: capacidad de mantener el sistema sin intervención externa</w:t>
            </w:r>
          </w:p>
        </w:tc>
      </w:tr>
    </w:tbl>
    <w:p>
      <w:pPr>
        <w:spacing w:after="80"/>
      </w:pPr>
    </w:p>
    <w:p>
      <w:pPr>
        <w:spacing w:after="120" w:before="60" w:line="276"/>
        <w:jc w:val="both"/>
      </w:pPr>
      <w:r>
        <w:rPr>
          <w:rFonts w:ascii="Arial" w:cs="Arial" w:eastAsia="Arial" w:hAnsi="Arial"/>
          <w:color w:val="1A1A2E"/>
          <w:sz w:val="21"/>
          <w:szCs w:val="21"/>
        </w:rPr>
        <w:t xml:space="preserve">El criterio de selección de cada componente es preciso: debe ser replicable con materiales locales o de descarte, operable sin formación especializada prolongada, mantenible sin cadena de suministro externa y transferible de agente a agente sin intermediario institucional.</w:t>
      </w:r>
    </w:p>
    <w:p>
      <w:pPr>
        <w:spacing w:after="120" w:before="60" w:line="276"/>
        <w:jc w:val="both"/>
      </w:pPr>
      <w:r>
        <w:rPr>
          <w:rFonts w:ascii="Arial" w:cs="Arial" w:eastAsia="Arial" w:hAnsi="Arial"/>
          <w:color w:val="1A1A2E"/>
          <w:sz w:val="21"/>
          <w:szCs w:val="21"/>
        </w:rPr>
        <w:t xml:space="preserve">El colector solar RTU desarrollado por la Fundación Hijos del Sol y la Basura [14] es el caso de prueba concreto: construido con botellas PET descartadas, alcanza 66,8°C de temperatura máxima en condiciones de campo, no requiere ningún insumo que no esté disponible en cualquier basural del planeta y puede ser replicado por cualquier persona con instrucciones básicas. Es exactamente el perfil de tecnología que la IDD requiere.</w:t>
      </w:r>
    </w:p>
    <w:p>
      <w:pPr>
        <w:pStyle w:val="Heading2"/>
        <w:spacing w:after="130" w:before="260"/>
      </w:pPr>
      <w:r>
        <w:rPr>
          <w:rFonts w:ascii="Arial" w:cs="Arial" w:eastAsia="Arial" w:hAnsi="Arial"/>
          <w:b/>
          <w:bCs/>
          <w:color w:val="16213E"/>
          <w:sz w:val="24"/>
          <w:szCs w:val="24"/>
        </w:rPr>
        <w:t xml:space="preserve">6.2 Por qué Herramientas y no Alimentos</w:t>
      </w:r>
    </w:p>
    <w:p>
      <w:pPr>
        <w:spacing w:after="120" w:before="60" w:line="276"/>
        <w:jc w:val="both"/>
      </w:pPr>
      <w:r>
        <w:rPr>
          <w:rFonts w:ascii="Arial" w:cs="Arial" w:eastAsia="Arial" w:hAnsi="Arial"/>
          <w:color w:val="1A1A2E"/>
          <w:sz w:val="21"/>
          <w:szCs w:val="21"/>
        </w:rPr>
        <w:t xml:space="preserve">El alimento es energía de ciclo único. Entra al sistema, se consume y el sistema retorna a su estado energético previo. El único efecto duradero de la provisión sostenida de alimento sin modificación del gradiente es mantener al agente con capacidad física para seguir habitando las condiciones que lo empobrecen.</w:t>
      </w:r>
    </w:p>
    <w:p>
      <w:pPr>
        <w:spacing w:after="120" w:before="60" w:line="276"/>
        <w:jc w:val="both"/>
      </w:pPr>
      <w:r>
        <w:rPr>
          <w:rFonts w:ascii="Arial" w:cs="Arial" w:eastAsia="Arial" w:hAnsi="Arial"/>
          <w:color w:val="1A1A2E"/>
          <w:sz w:val="21"/>
          <w:szCs w:val="21"/>
        </w:rPr>
        <w:t xml:space="preserve">La herramienta es un multiplicador de flujo energético. Un tornillo, una bomba de agua manual, un colector solar o una sembradora básica convierte el trabajo humano disponible en producción sostenida. No consume la energía del agente: la amplifica y la dirige hacia trabajo útil acumulable.</w:t>
      </w:r>
    </w:p>
    <w:p>
      <w:pPr>
        <w:pBdr>
          <w:left w:val="single" w:color="1A4A7A" w:sz="6" w:space="8"/>
        </w:pBdr>
        <w:spacing w:after="160" w:before="160"/>
        <w:ind w:left="480" w:right="480"/>
        <w:jc w:val="center"/>
      </w:pPr>
      <w:r>
        <w:rPr>
          <w:rFonts w:ascii="Arial" w:cs="Arial" w:eastAsia="Arial" w:hAnsi="Arial"/>
          <w:b/>
          <w:bCs/>
          <w:i/>
          <w:iCs/>
          <w:color w:val="2E4A6E"/>
          <w:sz w:val="21"/>
          <w:szCs w:val="21"/>
        </w:rPr>
        <w:t xml:space="preserve">La diferencia entre dar comida y dar herramientas es la diferencia entre disipar energía y crear un motor. Uno calienta. El otro mueve.</w:t>
      </w:r>
    </w:p>
    <w:p>
      <w:pPr>
        <w:pStyle w:val="Heading1"/>
        <w:spacing w:after="180" w:before="400"/>
      </w:pPr>
      <w:r>
        <w:rPr>
          <w:rFonts w:ascii="Arial" w:cs="Arial" w:eastAsia="Arial" w:hAnsi="Arial"/>
          <w:b/>
          <w:bCs/>
          <w:color w:val="1A1A2E"/>
          <w:sz w:val="30"/>
          <w:szCs w:val="30"/>
        </w:rPr>
        <w:t xml:space="preserve">7. Dispersión Territorial como Reductor del Reynolds Urbano</w:t>
      </w:r>
    </w:p>
    <w:p>
      <w:pPr>
        <w:spacing w:after="120" w:before="60" w:line="276"/>
        <w:jc w:val="both"/>
      </w:pPr>
      <w:r>
        <w:rPr>
          <w:rFonts w:ascii="Arial" w:cs="Arial" w:eastAsia="Arial" w:hAnsi="Arial"/>
          <w:color w:val="1A1A2E"/>
          <w:sz w:val="21"/>
          <w:szCs w:val="21"/>
        </w:rPr>
        <w:t xml:space="preserve">Las grandes ciudades del sur global son los nodos de mayor Re_s del sistema humano. Concentran el gradiente más extremo del planeta: riqueza extrema y pobreza extrema en proximidad física inmediata, con instituciones frecuentemente insuficientes para manejar la fricción resultante.</w:t>
      </w:r>
    </w:p>
    <w:p>
      <w:pPr>
        <w:spacing w:after="120" w:before="60" w:line="276"/>
        <w:jc w:val="both"/>
      </w:pPr>
      <w:r>
        <w:rPr>
          <w:rFonts w:ascii="Arial" w:cs="Arial" w:eastAsia="Arial" w:hAnsi="Arial"/>
          <w:color w:val="1A1A2E"/>
          <w:sz w:val="21"/>
          <w:szCs w:val="21"/>
        </w:rPr>
        <w:t xml:space="preserve">La IDD propone un mecanismo complementario y cualitativamente diferente: reducir la densidad del nodo de alta presión redistribuyendo la población hacia el territorio con herramientas suficientes para que esa redistribución sea productiva y no una condena a la subsistencia.</w:t>
      </w:r>
    </w:p>
    <w:p>
      <w:pPr>
        <w:pStyle w:val="Heading2"/>
        <w:spacing w:after="130" w:before="260"/>
      </w:pPr>
      <w:r>
        <w:rPr>
          <w:rFonts w:ascii="Arial" w:cs="Arial" w:eastAsia="Arial" w:hAnsi="Arial"/>
          <w:b/>
          <w:bCs/>
          <w:color w:val="16213E"/>
          <w:sz w:val="24"/>
          <w:szCs w:val="24"/>
        </w:rPr>
        <w:t xml:space="preserve">7.1 El Par Tierra-Tecnología</w:t>
      </w:r>
    </w:p>
    <w:p>
      <w:pPr>
        <w:spacing w:after="120" w:before="60" w:line="276"/>
        <w:jc w:val="both"/>
      </w:pPr>
      <w:r>
        <w:rPr>
          <w:rFonts w:ascii="Arial" w:cs="Arial" w:eastAsia="Arial" w:hAnsi="Arial"/>
          <w:color w:val="1A1A2E"/>
          <w:sz w:val="21"/>
          <w:szCs w:val="21"/>
        </w:rPr>
        <w:t xml:space="preserve">La tierra sin tecnología es trampa de subsistencia. El agente que accede a tierra sin herramientas ni conocimiento técnico retorna a la agricultura de subsistencia de bajo rendimiento, vulnerable a cualquier perturbación climática o de mercado.</w:t>
      </w:r>
    </w:p>
    <w:p>
      <w:pPr>
        <w:spacing w:after="120" w:before="60" w:line="276"/>
        <w:jc w:val="both"/>
      </w:pPr>
      <w:r>
        <w:rPr>
          <w:rFonts w:ascii="Arial" w:cs="Arial" w:eastAsia="Arial" w:hAnsi="Arial"/>
          <w:color w:val="1A1A2E"/>
          <w:sz w:val="21"/>
          <w:szCs w:val="21"/>
        </w:rPr>
        <w:t xml:space="preserve">La tecnología sin tierra es trampa urbana. El agente capacitado sin territorio donde aplicar su capacidad productiva permanece en el nodo de alta presión, ahora con mayor frustración relativa por la brecha entre su capacidad y sus condiciones.</w:t>
      </w:r>
    </w:p>
    <w:p>
      <w:pPr>
        <w:spacing w:after="120" w:before="60" w:line="276"/>
        <w:jc w:val="both"/>
      </w:pPr>
      <w:r>
        <w:rPr>
          <w:rFonts w:ascii="Arial" w:cs="Arial" w:eastAsia="Arial" w:hAnsi="Arial"/>
          <w:color w:val="1A1A2E"/>
          <w:sz w:val="21"/>
          <w:szCs w:val="21"/>
        </w:rPr>
        <w:t xml:space="preserve">El par tierra más tecnología replicable crea un sistema disipativo autónomo de ciclo cerrado. El agente produce su energía (RTU), su agua (captación pluvial o bomba manual), su alimento (técnicas de producción intensiva en pequeña escala) y sus ingresos (excedente comercializable). Cada componente refuerza a los demás.</w:t>
      </w:r>
    </w:p>
    <w:p>
      <w:pPr>
        <w:pBdr>
          <w:left w:val="single" w:color="1A4A7A" w:sz="6" w:space="8"/>
        </w:pBdr>
        <w:spacing w:after="160" w:before="160"/>
        <w:ind w:left="480" w:right="480"/>
        <w:jc w:val="center"/>
      </w:pPr>
      <w:r>
        <w:rPr>
          <w:rFonts w:ascii="Arial" w:cs="Arial" w:eastAsia="Arial" w:hAnsi="Arial"/>
          <w:b/>
          <w:bCs/>
          <w:i/>
          <w:iCs/>
          <w:color w:val="2E4A6E"/>
          <w:sz w:val="21"/>
          <w:szCs w:val="21"/>
        </w:rPr>
        <w:t xml:space="preserve">La tierra barata más tecnología open source es la combinación que convierte a un habitante de alta presión urbana en un nodo productivo autónomo de baja entropía.</w:t>
      </w:r>
    </w:p>
    <w:p>
      <w:pPr>
        <w:pStyle w:val="Heading2"/>
        <w:spacing w:after="130" w:before="260"/>
      </w:pPr>
      <w:r>
        <w:rPr>
          <w:rFonts w:ascii="Arial" w:cs="Arial" w:eastAsia="Arial" w:hAnsi="Arial"/>
          <w:b/>
          <w:bCs/>
          <w:color w:val="16213E"/>
          <w:sz w:val="24"/>
          <w:szCs w:val="24"/>
        </w:rPr>
        <w:t xml:space="preserve">7.2 El Efecto sobre Ambos Nodos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3000"/>
        <w:gridCol w:w="3000"/>
      </w:tblGrid>
      <w:tr>
        <w:trPr>
          <w:tblHeader/>
        </w:trPr>
        <w:tc>
          <w:tcPr>
            <w:tcW w:type="dxa" w:w="3360"/>
            <w:tcBorders>
              <w:top w:val="single" w:color="AACCDD" w:sz="1"/>
              <w:left w:val="single" w:color="AACCDD" w:sz="1"/>
              <w:bottom w:val="single" w:color="AACCDD" w:sz="1"/>
              <w:right w:val="single" w:color="AACCDD" w:sz="1"/>
            </w:tcBorders>
            <w:shd w:fill="1A4A7A" w:val="clear"/>
            <w:tcMar>
              <w:top w:type="dxa" w:w="80"/>
              <w:left w:type="dxa" w:w="120"/>
              <w:bottom w:type="dxa" w:w="80"/>
              <w:right w:type="dxa" w:w="120"/>
            </w:tcMar>
          </w:tcPr>
          <w:p>
            <w:r>
              <w:rPr>
                <w:rFonts w:ascii="Arial" w:cs="Arial" w:eastAsia="Arial" w:hAnsi="Arial"/>
                <w:b/>
                <w:bCs/>
                <w:color w:val="FFFFFF"/>
                <w:sz w:val="19"/>
                <w:szCs w:val="19"/>
              </w:rPr>
              <w:t xml:space="preserve">Variable</w:t>
            </w:r>
          </w:p>
        </w:tc>
        <w:tc>
          <w:tcPr>
            <w:tcW w:type="dxa" w:w="3000"/>
            <w:tcBorders>
              <w:top w:val="single" w:color="AACCDD" w:sz="1"/>
              <w:left w:val="single" w:color="AACCDD" w:sz="1"/>
              <w:bottom w:val="single" w:color="AACCDD" w:sz="1"/>
              <w:right w:val="single" w:color="AACCDD" w:sz="1"/>
            </w:tcBorders>
            <w:shd w:fill="1A4A7A" w:val="clear"/>
            <w:tcMar>
              <w:top w:type="dxa" w:w="80"/>
              <w:left w:type="dxa" w:w="120"/>
              <w:bottom w:type="dxa" w:w="80"/>
              <w:right w:type="dxa" w:w="120"/>
            </w:tcMar>
          </w:tcPr>
          <w:p>
            <w:r>
              <w:rPr>
                <w:rFonts w:ascii="Arial" w:cs="Arial" w:eastAsia="Arial" w:hAnsi="Arial"/>
                <w:b/>
                <w:bCs/>
                <w:color w:val="FFFFFF"/>
                <w:sz w:val="19"/>
                <w:szCs w:val="19"/>
              </w:rPr>
              <w:t xml:space="preserve">Efecto en nodo urbano</w:t>
            </w:r>
          </w:p>
        </w:tc>
        <w:tc>
          <w:tcPr>
            <w:tcW w:type="dxa" w:w="3000"/>
            <w:tcBorders>
              <w:top w:val="single" w:color="AACCDD" w:sz="1"/>
              <w:left w:val="single" w:color="AACCDD" w:sz="1"/>
              <w:bottom w:val="single" w:color="AACCDD" w:sz="1"/>
              <w:right w:val="single" w:color="AACCDD" w:sz="1"/>
            </w:tcBorders>
            <w:shd w:fill="1A4A7A" w:val="clear"/>
            <w:tcMar>
              <w:top w:type="dxa" w:w="80"/>
              <w:left w:type="dxa" w:w="120"/>
              <w:bottom w:type="dxa" w:w="80"/>
              <w:right w:type="dxa" w:w="120"/>
            </w:tcMar>
          </w:tcPr>
          <w:p>
            <w:r>
              <w:rPr>
                <w:rFonts w:ascii="Arial" w:cs="Arial" w:eastAsia="Arial" w:hAnsi="Arial"/>
                <w:b/>
                <w:bCs/>
                <w:color w:val="FFFFFF"/>
                <w:sz w:val="19"/>
                <w:szCs w:val="19"/>
              </w:rPr>
              <w:t xml:space="preserve">Efecto en nodo territorial</w:t>
            </w:r>
          </w:p>
        </w:tc>
      </w:tr>
      <w:tr>
        <w:tc>
          <w:tcPr>
            <w:tcW w:type="dxa" w:w="3360"/>
            <w:tcBorders>
              <w:top w:val="single" w:color="AACCDD" w:sz="1"/>
              <w:left w:val="single" w:color="AACCDD" w:sz="1"/>
              <w:bottom w:val="single" w:color="AACCDD" w:sz="1"/>
              <w:right w:val="single" w:color="AACCDD" w:sz="1"/>
            </w:tcBorders>
            <w:shd w:fill="E8F4FD" w:val="clear"/>
            <w:tcMar>
              <w:top w:type="dxa" w:w="80"/>
              <w:left w:type="dxa" w:w="120"/>
              <w:bottom w:type="dxa" w:w="80"/>
              <w:right w:type="dxa" w:w="120"/>
            </w:tcMar>
          </w:tcPr>
          <w:p>
            <w:r>
              <w:rPr>
                <w:rFonts w:ascii="Arial" w:cs="Arial" w:eastAsia="Arial" w:hAnsi="Arial"/>
                <w:color w:val="1A1A2E"/>
                <w:sz w:val="19"/>
                <w:szCs w:val="19"/>
              </w:rPr>
              <w:t xml:space="preserve">Densidad poblacional</w:t>
            </w:r>
          </w:p>
        </w:tc>
        <w:tc>
          <w:tcPr>
            <w:tcW w:type="dxa" w:w="3000"/>
            <w:tcBorders>
              <w:top w:val="single" w:color="AACCDD" w:sz="1"/>
              <w:left w:val="single" w:color="AACCDD" w:sz="1"/>
              <w:bottom w:val="single" w:color="AACCDD" w:sz="1"/>
              <w:right w:val="single" w:color="AACCDD" w:sz="1"/>
            </w:tcBorders>
            <w:shd w:fill="E8F4FD" w:val="clear"/>
            <w:tcMar>
              <w:top w:type="dxa" w:w="80"/>
              <w:left w:type="dxa" w:w="120"/>
              <w:bottom w:type="dxa" w:w="80"/>
              <w:right w:type="dxa" w:w="120"/>
            </w:tcMar>
          </w:tcPr>
          <w:p>
            <w:r>
              <w:rPr>
                <w:rFonts w:ascii="Arial" w:cs="Arial" w:eastAsia="Arial" w:hAnsi="Arial"/>
                <w:color w:val="1A1A2E"/>
                <w:sz w:val="19"/>
                <w:szCs w:val="19"/>
              </w:rPr>
              <w:t xml:space="preserve">Disminuye</w:t>
            </w:r>
          </w:p>
        </w:tc>
        <w:tc>
          <w:tcPr>
            <w:tcW w:type="dxa" w:w="3000"/>
            <w:tcBorders>
              <w:top w:val="single" w:color="AACCDD" w:sz="1"/>
              <w:left w:val="single" w:color="AACCDD" w:sz="1"/>
              <w:bottom w:val="single" w:color="AACCDD" w:sz="1"/>
              <w:right w:val="single" w:color="AACCDD" w:sz="1"/>
            </w:tcBorders>
            <w:shd w:fill="E8F4FD" w:val="clear"/>
            <w:tcMar>
              <w:top w:type="dxa" w:w="80"/>
              <w:left w:type="dxa" w:w="120"/>
              <w:bottom w:type="dxa" w:w="80"/>
              <w:right w:type="dxa" w:w="120"/>
            </w:tcMar>
          </w:tcPr>
          <w:p>
            <w:r>
              <w:rPr>
                <w:rFonts w:ascii="Arial" w:cs="Arial" w:eastAsia="Arial" w:hAnsi="Arial"/>
                <w:color w:val="1A1A2E"/>
                <w:sz w:val="19"/>
                <w:szCs w:val="19"/>
              </w:rPr>
              <w:t xml:space="preserve">Aumenta moderadamente</w:t>
            </w:r>
          </w:p>
        </w:tc>
      </w:tr>
      <w:tr>
        <w:tc>
          <w:tcPr>
            <w:tcW w:type="dxa" w:w="336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Gradiente energético</w:t>
            </w:r>
          </w:p>
        </w:tc>
        <w:tc>
          <w:tcPr>
            <w:tcW w:type="dxa" w:w="300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Reduce</w:t>
            </w:r>
          </w:p>
        </w:tc>
        <w:tc>
          <w:tcPr>
            <w:tcW w:type="dxa" w:w="300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Distribuye</w:t>
            </w:r>
          </w:p>
        </w:tc>
      </w:tr>
      <w:tr>
        <w:tc>
          <w:tcPr>
            <w:tcW w:type="dxa" w:w="3360"/>
            <w:tcBorders>
              <w:top w:val="single" w:color="AACCDD" w:sz="1"/>
              <w:left w:val="single" w:color="AACCDD" w:sz="1"/>
              <w:bottom w:val="single" w:color="AACCDD" w:sz="1"/>
              <w:right w:val="single" w:color="AACCDD" w:sz="1"/>
            </w:tcBorders>
            <w:shd w:fill="E8F4FD" w:val="clear"/>
            <w:tcMar>
              <w:top w:type="dxa" w:w="80"/>
              <w:left w:type="dxa" w:w="120"/>
              <w:bottom w:type="dxa" w:w="80"/>
              <w:right w:type="dxa" w:w="120"/>
            </w:tcMar>
          </w:tcPr>
          <w:p>
            <w:r>
              <w:rPr>
                <w:rFonts w:ascii="Arial" w:cs="Arial" w:eastAsia="Arial" w:hAnsi="Arial"/>
                <w:color w:val="1A1A2E"/>
                <w:sz w:val="19"/>
                <w:szCs w:val="19"/>
              </w:rPr>
              <w:t xml:space="preserve">Base de reclutamiento para conflicto</w:t>
            </w:r>
          </w:p>
        </w:tc>
        <w:tc>
          <w:tcPr>
            <w:tcW w:type="dxa" w:w="3000"/>
            <w:tcBorders>
              <w:top w:val="single" w:color="AACCDD" w:sz="1"/>
              <w:left w:val="single" w:color="AACCDD" w:sz="1"/>
              <w:bottom w:val="single" w:color="AACCDD" w:sz="1"/>
              <w:right w:val="single" w:color="AACCDD" w:sz="1"/>
            </w:tcBorders>
            <w:shd w:fill="E8F4FD" w:val="clear"/>
            <w:tcMar>
              <w:top w:type="dxa" w:w="80"/>
              <w:left w:type="dxa" w:w="120"/>
              <w:bottom w:type="dxa" w:w="80"/>
              <w:right w:type="dxa" w:w="120"/>
            </w:tcMar>
          </w:tcPr>
          <w:p>
            <w:r>
              <w:rPr>
                <w:rFonts w:ascii="Arial" w:cs="Arial" w:eastAsia="Arial" w:hAnsi="Arial"/>
                <w:color w:val="1A1A2E"/>
                <w:sz w:val="19"/>
                <w:szCs w:val="19"/>
              </w:rPr>
              <w:t xml:space="preserve">Reduce</w:t>
            </w:r>
          </w:p>
        </w:tc>
        <w:tc>
          <w:tcPr>
            <w:tcW w:type="dxa" w:w="3000"/>
            <w:tcBorders>
              <w:top w:val="single" w:color="AACCDD" w:sz="1"/>
              <w:left w:val="single" w:color="AACCDD" w:sz="1"/>
              <w:bottom w:val="single" w:color="AACCDD" w:sz="1"/>
              <w:right w:val="single" w:color="AACCDD" w:sz="1"/>
            </w:tcBorders>
            <w:shd w:fill="E8F4FD" w:val="clear"/>
            <w:tcMar>
              <w:top w:type="dxa" w:w="80"/>
              <w:left w:type="dxa" w:w="120"/>
              <w:bottom w:type="dxa" w:w="80"/>
              <w:right w:type="dxa" w:w="120"/>
            </w:tcMar>
          </w:tcPr>
          <w:p>
            <w:r>
              <w:rPr>
                <w:rFonts w:ascii="Arial" w:cs="Arial" w:eastAsia="Arial" w:hAnsi="Arial"/>
                <w:color w:val="1A1A2E"/>
                <w:sz w:val="19"/>
                <w:szCs w:val="19"/>
              </w:rPr>
              <w:t xml:space="preserve">No se genera (agente productivo)</w:t>
            </w:r>
          </w:p>
        </w:tc>
      </w:tr>
      <w:tr>
        <w:tc>
          <w:tcPr>
            <w:tcW w:type="dxa" w:w="336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Viscosidad institucional</w:t>
            </w:r>
          </w:p>
        </w:tc>
        <w:tc>
          <w:tcPr>
            <w:tcW w:type="dxa" w:w="300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Mejora relativa</w:t>
            </w:r>
          </w:p>
        </w:tc>
        <w:tc>
          <w:tcPr>
            <w:tcW w:type="dxa" w:w="300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Se construye orgánicamente</w:t>
            </w:r>
          </w:p>
        </w:tc>
      </w:tr>
      <w:tr>
        <w:tc>
          <w:tcPr>
            <w:tcW w:type="dxa" w:w="3360"/>
            <w:tcBorders>
              <w:top w:val="single" w:color="AACCDD" w:sz="1"/>
              <w:left w:val="single" w:color="AACCDD" w:sz="1"/>
              <w:bottom w:val="single" w:color="AACCDD" w:sz="1"/>
              <w:right w:val="single" w:color="AACCDD" w:sz="1"/>
            </w:tcBorders>
            <w:shd w:fill="E8F4FD" w:val="clear"/>
            <w:tcMar>
              <w:top w:type="dxa" w:w="80"/>
              <w:left w:type="dxa" w:w="120"/>
              <w:bottom w:type="dxa" w:w="80"/>
              <w:right w:type="dxa" w:w="120"/>
            </w:tcMar>
          </w:tcPr>
          <w:p>
            <w:r>
              <w:rPr>
                <w:rFonts w:ascii="Arial" w:cs="Arial" w:eastAsia="Arial" w:hAnsi="Arial"/>
                <w:color w:val="1A1A2E"/>
                <w:sz w:val="19"/>
                <w:szCs w:val="19"/>
              </w:rPr>
              <w:t xml:space="preserve">Re_s del nodo</w:t>
            </w:r>
          </w:p>
        </w:tc>
        <w:tc>
          <w:tcPr>
            <w:tcW w:type="dxa" w:w="3000"/>
            <w:tcBorders>
              <w:top w:val="single" w:color="AACCDD" w:sz="1"/>
              <w:left w:val="single" w:color="AACCDD" w:sz="1"/>
              <w:bottom w:val="single" w:color="AACCDD" w:sz="1"/>
              <w:right w:val="single" w:color="AACCDD" w:sz="1"/>
            </w:tcBorders>
            <w:shd w:fill="E8F4FD" w:val="clear"/>
            <w:tcMar>
              <w:top w:type="dxa" w:w="80"/>
              <w:left w:type="dxa" w:w="120"/>
              <w:bottom w:type="dxa" w:w="80"/>
              <w:right w:type="dxa" w:w="120"/>
            </w:tcMar>
          </w:tcPr>
          <w:p>
            <w:r>
              <w:rPr>
                <w:rFonts w:ascii="Arial" w:cs="Arial" w:eastAsia="Arial" w:hAnsi="Arial"/>
                <w:color w:val="1A1A2E"/>
                <w:sz w:val="19"/>
                <w:szCs w:val="19"/>
              </w:rPr>
              <w:t xml:space="preserve">Baja</w:t>
            </w:r>
          </w:p>
        </w:tc>
        <w:tc>
          <w:tcPr>
            <w:tcW w:type="dxa" w:w="3000"/>
            <w:tcBorders>
              <w:top w:val="single" w:color="AACCDD" w:sz="1"/>
              <w:left w:val="single" w:color="AACCDD" w:sz="1"/>
              <w:bottom w:val="single" w:color="AACCDD" w:sz="1"/>
              <w:right w:val="single" w:color="AACCDD" w:sz="1"/>
            </w:tcBorders>
            <w:shd w:fill="E8F4FD" w:val="clear"/>
            <w:tcMar>
              <w:top w:type="dxa" w:w="80"/>
              <w:left w:type="dxa" w:w="120"/>
              <w:bottom w:type="dxa" w:w="80"/>
              <w:right w:type="dxa" w:w="120"/>
            </w:tcMar>
          </w:tcPr>
          <w:p>
            <w:r>
              <w:rPr>
                <w:rFonts w:ascii="Arial" w:cs="Arial" w:eastAsia="Arial" w:hAnsi="Arial"/>
                <w:color w:val="1A1A2E"/>
                <w:sz w:val="19"/>
                <w:szCs w:val="19"/>
              </w:rPr>
              <w:t xml:space="preserve">Bajo desde el inicio</w:t>
            </w:r>
          </w:p>
        </w:tc>
      </w:tr>
    </w:tbl>
    <w:p>
      <w:pPr>
        <w:spacing w:after="80"/>
      </w:pPr>
    </w:p>
    <w:p>
      <w:pPr>
        <w:pStyle w:val="Heading1"/>
        <w:spacing w:after="180" w:before="400"/>
      </w:pPr>
      <w:r>
        <w:rPr>
          <w:rFonts w:ascii="Arial" w:cs="Arial" w:eastAsia="Arial" w:hAnsi="Arial"/>
          <w:b/>
          <w:bCs/>
          <w:color w:val="1A1A2E"/>
          <w:sz w:val="30"/>
          <w:szCs w:val="30"/>
        </w:rPr>
        <w:t xml:space="preserve">8. La Nueva Misión Tecnológica</w:t>
      </w:r>
    </w:p>
    <w:p>
      <w:pPr>
        <w:spacing w:after="120" w:before="60" w:line="276"/>
        <w:jc w:val="both"/>
      </w:pPr>
      <w:r>
        <w:rPr>
          <w:rFonts w:ascii="Arial" w:cs="Arial" w:eastAsia="Arial" w:hAnsi="Arial"/>
          <w:color w:val="1A1A2E"/>
          <w:sz w:val="21"/>
          <w:szCs w:val="21"/>
        </w:rPr>
        <w:t xml:space="preserve">El mecanismo de transmisión de la IDD requiere un vector de distribución que comparta tres propiedades: penetración territorial real en zonas de alta presión donde las instituciones formales no llegan; capacidad de transferencia de conocimiento práctico de agente a agente; y ausencia de dependencia de estructuras estatales o corporativas que reproduzcan el clientelismo que se intenta evitar.</w:t>
      </w:r>
    </w:p>
    <w:p>
      <w:pPr>
        <w:spacing w:after="120" w:before="60" w:line="276"/>
        <w:jc w:val="both"/>
      </w:pPr>
      <w:r>
        <w:rPr>
          <w:rFonts w:ascii="Arial" w:cs="Arial" w:eastAsia="Arial" w:hAnsi="Arial"/>
          <w:color w:val="1A1A2E"/>
          <w:sz w:val="21"/>
          <w:szCs w:val="21"/>
        </w:rPr>
        <w:t xml:space="preserve">La historia ofrece un precedente concreto y documentado de un sistema con estas tres propiedades operando a escala continental: las misiones religiosas, y en particular las misiones jesuíticas guaranías del siglo XVII en el territorio que hoy comprende el noreste argentino, el sur de Brasil y el Paraguay.</w:t>
      </w:r>
    </w:p>
    <w:p>
      <w:pPr>
        <w:pStyle w:val="Heading2"/>
        <w:spacing w:after="130" w:before="260"/>
      </w:pPr>
      <w:r>
        <w:rPr>
          <w:rFonts w:ascii="Arial" w:cs="Arial" w:eastAsia="Arial" w:hAnsi="Arial"/>
          <w:b/>
          <w:bCs/>
          <w:color w:val="16213E"/>
          <w:sz w:val="24"/>
          <w:szCs w:val="24"/>
        </w:rPr>
        <w:t xml:space="preserve">8.1 Las Misiones Jesuíticas como Caso Histórico</w:t>
      </w:r>
    </w:p>
    <w:p>
      <w:pPr>
        <w:spacing w:after="120" w:before="60" w:line="276"/>
        <w:jc w:val="both"/>
      </w:pPr>
      <w:r>
        <w:rPr>
          <w:rFonts w:ascii="Arial" w:cs="Arial" w:eastAsia="Arial" w:hAnsi="Arial"/>
          <w:color w:val="1A1A2E"/>
          <w:sz w:val="21"/>
          <w:szCs w:val="21"/>
        </w:rPr>
        <w:t xml:space="preserve">Las reducciones jesuíticas guaranías constituyeron entre 1609 y 1768 uno de los experimentos de organización social más complejos y exitosos de la historia americana. En su punto máximo albergaron a más de 100.000 personas en 30 reducciones distribuidas en territorio sin infraestructura estatal previa.</w:t>
      </w:r>
    </w:p>
    <w:p>
      <w:pPr>
        <w:spacing w:after="120" w:before="60" w:line="276"/>
        <w:jc w:val="both"/>
      </w:pPr>
      <w:r>
        <w:rPr>
          <w:rFonts w:ascii="Arial" w:cs="Arial" w:eastAsia="Arial" w:hAnsi="Arial"/>
          <w:color w:val="1A1A2E"/>
          <w:sz w:val="21"/>
          <w:szCs w:val="21"/>
        </w:rPr>
        <w:t xml:space="preserve">Su éxito termodinámico radica en que combinaron exactamente los componentes que la IDD propone: presencia física sostenida en territorio, transferencia de tecnología productiva concreta (agricultura sistemática, ganadería, construcción en piedra, imprenta, música, metalurgia), organización comunitaria de la producción y excedente comercializable que generaba autonomía económica respecto al sistema colonial.</w:t>
      </w:r>
    </w:p>
    <w:p>
      <w:pPr>
        <w:spacing w:after="120" w:before="60" w:line="276"/>
        <w:jc w:val="both"/>
      </w:pPr>
      <w:r>
        <w:rPr>
          <w:rFonts w:ascii="Arial" w:cs="Arial" w:eastAsia="Arial" w:hAnsi="Arial"/>
          <w:color w:val="1A1A2E"/>
          <w:sz w:val="21"/>
          <w:szCs w:val="21"/>
        </w:rPr>
        <w:t xml:space="preserve">El colapso de las misiones no fue un fracaso interno del sistema. Fue una destrucción externa: la expulsión de los jesuitas en 1767 por orden de la Corona española, motivada precisamente por el nivel de autonomía que las reducciones habían alcanzado.</w:t>
      </w:r>
    </w:p>
    <w:p>
      <w:pPr>
        <w:pBdr>
          <w:left w:val="single" w:color="1A4A7A" w:sz="6" w:space="8"/>
        </w:pBdr>
        <w:spacing w:after="160" w:before="160"/>
        <w:ind w:left="480" w:right="480"/>
        <w:jc w:val="center"/>
      </w:pPr>
      <w:r>
        <w:rPr>
          <w:rFonts w:ascii="Arial" w:cs="Arial" w:eastAsia="Arial" w:hAnsi="Arial"/>
          <w:b/>
          <w:bCs/>
          <w:i/>
          <w:iCs/>
          <w:color w:val="2E4A6E"/>
          <w:sz w:val="21"/>
          <w:szCs w:val="21"/>
        </w:rPr>
        <w:t xml:space="preserve">Las misiones jesuíticas no fallaron. Fueron destruidas. La diferencia es decisiva: demuestra que el modelo funciona, y que la resistencia al modelo vendrá de quienes se benefician del excedente humano que el modelo elimina.</w:t>
      </w:r>
    </w:p>
    <w:p>
      <w:pPr>
        <w:pStyle w:val="Heading2"/>
        <w:spacing w:after="130" w:before="260"/>
      </w:pPr>
      <w:r>
        <w:rPr>
          <w:rFonts w:ascii="Arial" w:cs="Arial" w:eastAsia="Arial" w:hAnsi="Arial"/>
          <w:b/>
          <w:bCs/>
          <w:color w:val="16213E"/>
          <w:sz w:val="24"/>
          <w:szCs w:val="24"/>
        </w:rPr>
        <w:t xml:space="preserve">8.2 El Modelo Actualizado</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rPr>
          <w:tblHeader/>
        </w:trPr>
        <w:tc>
          <w:tcPr>
            <w:tcW w:type="dxa" w:w="2600"/>
            <w:tcBorders>
              <w:top w:val="single" w:color="AACCDD" w:sz="1"/>
              <w:left w:val="single" w:color="AACCDD" w:sz="1"/>
              <w:bottom w:val="single" w:color="AACCDD" w:sz="1"/>
              <w:right w:val="single" w:color="AACCDD" w:sz="1"/>
            </w:tcBorders>
            <w:shd w:fill="1A4A7A" w:val="clear"/>
            <w:tcMar>
              <w:top w:type="dxa" w:w="80"/>
              <w:left w:type="dxa" w:w="120"/>
              <w:bottom w:type="dxa" w:w="80"/>
              <w:right w:type="dxa" w:w="120"/>
            </w:tcMar>
          </w:tcPr>
          <w:p>
            <w:r>
              <w:rPr>
                <w:rFonts w:ascii="Arial" w:cs="Arial" w:eastAsia="Arial" w:hAnsi="Arial"/>
                <w:b/>
                <w:bCs/>
                <w:color w:val="FFFFFF"/>
                <w:sz w:val="19"/>
                <w:szCs w:val="19"/>
              </w:rPr>
              <w:t xml:space="preserve">Componente</w:t>
            </w:r>
          </w:p>
        </w:tc>
        <w:tc>
          <w:tcPr>
            <w:tcW w:type="dxa" w:w="3380"/>
            <w:tcBorders>
              <w:top w:val="single" w:color="AACCDD" w:sz="1"/>
              <w:left w:val="single" w:color="AACCDD" w:sz="1"/>
              <w:bottom w:val="single" w:color="AACCDD" w:sz="1"/>
              <w:right w:val="single" w:color="AACCDD" w:sz="1"/>
            </w:tcBorders>
            <w:shd w:fill="1A4A7A" w:val="clear"/>
            <w:tcMar>
              <w:top w:type="dxa" w:w="80"/>
              <w:left w:type="dxa" w:w="120"/>
              <w:bottom w:type="dxa" w:w="80"/>
              <w:right w:type="dxa" w:w="120"/>
            </w:tcMar>
          </w:tcPr>
          <w:p>
            <w:r>
              <w:rPr>
                <w:rFonts w:ascii="Arial" w:cs="Arial" w:eastAsia="Arial" w:hAnsi="Arial"/>
                <w:b/>
                <w:bCs/>
                <w:color w:val="FFFFFF"/>
                <w:sz w:val="19"/>
                <w:szCs w:val="19"/>
              </w:rPr>
              <w:t xml:space="preserve">Misión jesuítica (s. XVII)</w:t>
            </w:r>
          </w:p>
        </w:tc>
        <w:tc>
          <w:tcPr>
            <w:tcW w:type="dxa" w:w="3380"/>
            <w:tcBorders>
              <w:top w:val="single" w:color="AACCDD" w:sz="1"/>
              <w:left w:val="single" w:color="AACCDD" w:sz="1"/>
              <w:bottom w:val="single" w:color="AACCDD" w:sz="1"/>
              <w:right w:val="single" w:color="AACCDD" w:sz="1"/>
            </w:tcBorders>
            <w:shd w:fill="1A4A7A" w:val="clear"/>
            <w:tcMar>
              <w:top w:type="dxa" w:w="80"/>
              <w:left w:type="dxa" w:w="120"/>
              <w:bottom w:type="dxa" w:w="80"/>
              <w:right w:type="dxa" w:w="120"/>
            </w:tcMar>
          </w:tcPr>
          <w:p>
            <w:r>
              <w:rPr>
                <w:rFonts w:ascii="Arial" w:cs="Arial" w:eastAsia="Arial" w:hAnsi="Arial"/>
                <w:b/>
                <w:bCs/>
                <w:color w:val="FFFFFF"/>
                <w:sz w:val="19"/>
                <w:szCs w:val="19"/>
              </w:rPr>
              <w:t xml:space="preserve">Nueva Misión Tecnológica (s. XXI)</w:t>
            </w:r>
          </w:p>
        </w:tc>
      </w:tr>
      <w:tr>
        <w:tc>
          <w:tcPr>
            <w:tcW w:type="dxa" w:w="2600"/>
            <w:tcBorders>
              <w:top w:val="single" w:color="AACCDD" w:sz="1"/>
              <w:left w:val="single" w:color="AACCDD" w:sz="1"/>
              <w:bottom w:val="single" w:color="AACCDD" w:sz="1"/>
              <w:right w:val="single" w:color="AACCDD" w:sz="1"/>
            </w:tcBorders>
            <w:shd w:fill="E8F4FD" w:val="clear"/>
            <w:tcMar>
              <w:top w:type="dxa" w:w="80"/>
              <w:left w:type="dxa" w:w="120"/>
              <w:bottom w:type="dxa" w:w="80"/>
              <w:right w:type="dxa" w:w="120"/>
            </w:tcMar>
          </w:tcPr>
          <w:p>
            <w:r>
              <w:rPr>
                <w:rFonts w:ascii="Arial" w:cs="Arial" w:eastAsia="Arial" w:hAnsi="Arial"/>
                <w:color w:val="1A1A2E"/>
                <w:sz w:val="19"/>
                <w:szCs w:val="19"/>
              </w:rPr>
              <w:t xml:space="preserve">Vector de entrada</w:t>
            </w:r>
          </w:p>
        </w:tc>
        <w:tc>
          <w:tcPr>
            <w:tcW w:type="dxa" w:w="3380"/>
            <w:tcBorders>
              <w:top w:val="single" w:color="AACCDD" w:sz="1"/>
              <w:left w:val="single" w:color="AACCDD" w:sz="1"/>
              <w:bottom w:val="single" w:color="AACCDD" w:sz="1"/>
              <w:right w:val="single" w:color="AACCDD" w:sz="1"/>
            </w:tcBorders>
            <w:shd w:fill="E8F4FD" w:val="clear"/>
            <w:tcMar>
              <w:top w:type="dxa" w:w="80"/>
              <w:left w:type="dxa" w:w="120"/>
              <w:bottom w:type="dxa" w:w="80"/>
              <w:right w:type="dxa" w:w="120"/>
            </w:tcMar>
          </w:tcPr>
          <w:p>
            <w:r>
              <w:rPr>
                <w:rFonts w:ascii="Arial" w:cs="Arial" w:eastAsia="Arial" w:hAnsi="Arial"/>
                <w:color w:val="1A1A2E"/>
                <w:sz w:val="19"/>
                <w:szCs w:val="19"/>
              </w:rPr>
              <w:t xml:space="preserve">Sacerdotes con formación práctica</w:t>
            </w:r>
          </w:p>
        </w:tc>
        <w:tc>
          <w:tcPr>
            <w:tcW w:type="dxa" w:w="3380"/>
            <w:tcBorders>
              <w:top w:val="single" w:color="AACCDD" w:sz="1"/>
              <w:left w:val="single" w:color="AACCDD" w:sz="1"/>
              <w:bottom w:val="single" w:color="AACCDD" w:sz="1"/>
              <w:right w:val="single" w:color="AACCDD" w:sz="1"/>
            </w:tcBorders>
            <w:shd w:fill="E8F4FD" w:val="clear"/>
            <w:tcMar>
              <w:top w:type="dxa" w:w="80"/>
              <w:left w:type="dxa" w:w="120"/>
              <w:bottom w:type="dxa" w:w="80"/>
              <w:right w:type="dxa" w:w="120"/>
            </w:tcMar>
          </w:tcPr>
          <w:p>
            <w:r>
              <w:rPr>
                <w:rFonts w:ascii="Arial" w:cs="Arial" w:eastAsia="Arial" w:hAnsi="Arial"/>
                <w:color w:val="1A1A2E"/>
                <w:sz w:val="19"/>
                <w:szCs w:val="19"/>
              </w:rPr>
              <w:t xml:space="preserve">Facilitadores técnicos con kit IDD</w:t>
            </w:r>
          </w:p>
        </w:tc>
      </w:tr>
      <w:tr>
        <w:tc>
          <w:tcPr>
            <w:tcW w:type="dxa" w:w="260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Tecnología transferida</w:t>
            </w:r>
          </w:p>
        </w:tc>
        <w:tc>
          <w:tcPr>
            <w:tcW w:type="dxa" w:w="338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Agricultura, ganadería, construcción, imprenta</w:t>
            </w:r>
          </w:p>
        </w:tc>
        <w:tc>
          <w:tcPr>
            <w:tcW w:type="dxa" w:w="338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RTU, captación de agua, producción intensiva, fabricación básica</w:t>
            </w:r>
          </w:p>
        </w:tc>
      </w:tr>
      <w:tr>
        <w:tc>
          <w:tcPr>
            <w:tcW w:type="dxa" w:w="2600"/>
            <w:tcBorders>
              <w:top w:val="single" w:color="AACCDD" w:sz="1"/>
              <w:left w:val="single" w:color="AACCDD" w:sz="1"/>
              <w:bottom w:val="single" w:color="AACCDD" w:sz="1"/>
              <w:right w:val="single" w:color="AACCDD" w:sz="1"/>
            </w:tcBorders>
            <w:shd w:fill="E8F4FD" w:val="clear"/>
            <w:tcMar>
              <w:top w:type="dxa" w:w="80"/>
              <w:left w:type="dxa" w:w="120"/>
              <w:bottom w:type="dxa" w:w="80"/>
              <w:right w:type="dxa" w:w="120"/>
            </w:tcMar>
          </w:tcPr>
          <w:p>
            <w:r>
              <w:rPr>
                <w:rFonts w:ascii="Arial" w:cs="Arial" w:eastAsia="Arial" w:hAnsi="Arial"/>
                <w:color w:val="1A1A2E"/>
                <w:sz w:val="19"/>
                <w:szCs w:val="19"/>
              </w:rPr>
              <w:t xml:space="preserve">Marco ideológico</w:t>
            </w:r>
          </w:p>
        </w:tc>
        <w:tc>
          <w:tcPr>
            <w:tcW w:type="dxa" w:w="3380"/>
            <w:tcBorders>
              <w:top w:val="single" w:color="AACCDD" w:sz="1"/>
              <w:left w:val="single" w:color="AACCDD" w:sz="1"/>
              <w:bottom w:val="single" w:color="AACCDD" w:sz="1"/>
              <w:right w:val="single" w:color="AACCDD" w:sz="1"/>
            </w:tcBorders>
            <w:shd w:fill="E8F4FD" w:val="clear"/>
            <w:tcMar>
              <w:top w:type="dxa" w:w="80"/>
              <w:left w:type="dxa" w:w="120"/>
              <w:bottom w:type="dxa" w:w="80"/>
              <w:right w:type="dxa" w:w="120"/>
            </w:tcMar>
          </w:tcPr>
          <w:p>
            <w:r>
              <w:rPr>
                <w:rFonts w:ascii="Arial" w:cs="Arial" w:eastAsia="Arial" w:hAnsi="Arial"/>
                <w:color w:val="1A1A2E"/>
                <w:sz w:val="19"/>
                <w:szCs w:val="19"/>
              </w:rPr>
              <w:t xml:space="preserve">Catolicismo jesuítico</w:t>
            </w:r>
          </w:p>
        </w:tc>
        <w:tc>
          <w:tcPr>
            <w:tcW w:type="dxa" w:w="3380"/>
            <w:tcBorders>
              <w:top w:val="single" w:color="AACCDD" w:sz="1"/>
              <w:left w:val="single" w:color="AACCDD" w:sz="1"/>
              <w:bottom w:val="single" w:color="AACCDD" w:sz="1"/>
              <w:right w:val="single" w:color="AACCDD" w:sz="1"/>
            </w:tcBorders>
            <w:shd w:fill="E8F4FD" w:val="clear"/>
            <w:tcMar>
              <w:top w:type="dxa" w:w="80"/>
              <w:left w:type="dxa" w:w="120"/>
              <w:bottom w:type="dxa" w:w="80"/>
              <w:right w:type="dxa" w:w="120"/>
            </w:tcMar>
          </w:tcPr>
          <w:p>
            <w:r>
              <w:rPr>
                <w:rFonts w:ascii="Arial" w:cs="Arial" w:eastAsia="Arial" w:hAnsi="Arial"/>
                <w:color w:val="1A1A2E"/>
                <w:sz w:val="19"/>
                <w:szCs w:val="19"/>
              </w:rPr>
              <w:t xml:space="preserve">Open source: el conocimiento es de todos</w:t>
            </w:r>
          </w:p>
        </w:tc>
      </w:tr>
      <w:tr>
        <w:tc>
          <w:tcPr>
            <w:tcW w:type="dxa" w:w="260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Dependencia generada</w:t>
            </w:r>
          </w:p>
        </w:tc>
        <w:tc>
          <w:tcPr>
            <w:tcW w:type="dxa" w:w="338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Institucional-religiosa</w:t>
            </w:r>
          </w:p>
        </w:tc>
        <w:tc>
          <w:tcPr>
            <w:tcW w:type="dxa" w:w="338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Ninguna: tecnología replicable autónomamente</w:t>
            </w:r>
          </w:p>
        </w:tc>
      </w:tr>
      <w:tr>
        <w:tc>
          <w:tcPr>
            <w:tcW w:type="dxa" w:w="2600"/>
            <w:tcBorders>
              <w:top w:val="single" w:color="AACCDD" w:sz="1"/>
              <w:left w:val="single" w:color="AACCDD" w:sz="1"/>
              <w:bottom w:val="single" w:color="AACCDD" w:sz="1"/>
              <w:right w:val="single" w:color="AACCDD" w:sz="1"/>
            </w:tcBorders>
            <w:shd w:fill="E8F4FD" w:val="clear"/>
            <w:tcMar>
              <w:top w:type="dxa" w:w="80"/>
              <w:left w:type="dxa" w:w="120"/>
              <w:bottom w:type="dxa" w:w="80"/>
              <w:right w:type="dxa" w:w="120"/>
            </w:tcMar>
          </w:tcPr>
          <w:p>
            <w:r>
              <w:rPr>
                <w:rFonts w:ascii="Arial" w:cs="Arial" w:eastAsia="Arial" w:hAnsi="Arial"/>
                <w:color w:val="1A1A2E"/>
                <w:sz w:val="19"/>
                <w:szCs w:val="19"/>
              </w:rPr>
              <w:t xml:space="preserve">Financiamiento</w:t>
            </w:r>
          </w:p>
        </w:tc>
        <w:tc>
          <w:tcPr>
            <w:tcW w:type="dxa" w:w="3380"/>
            <w:tcBorders>
              <w:top w:val="single" w:color="AACCDD" w:sz="1"/>
              <w:left w:val="single" w:color="AACCDD" w:sz="1"/>
              <w:bottom w:val="single" w:color="AACCDD" w:sz="1"/>
              <w:right w:val="single" w:color="AACCDD" w:sz="1"/>
            </w:tcBorders>
            <w:shd w:fill="E8F4FD" w:val="clear"/>
            <w:tcMar>
              <w:top w:type="dxa" w:w="80"/>
              <w:left w:type="dxa" w:w="120"/>
              <w:bottom w:type="dxa" w:w="80"/>
              <w:right w:type="dxa" w:w="120"/>
            </w:tcMar>
          </w:tcPr>
          <w:p>
            <w:r>
              <w:rPr>
                <w:rFonts w:ascii="Arial" w:cs="Arial" w:eastAsia="Arial" w:hAnsi="Arial"/>
                <w:color w:val="1A1A2E"/>
                <w:sz w:val="19"/>
                <w:szCs w:val="19"/>
              </w:rPr>
              <w:t xml:space="preserve">Corona española / Iglesia</w:t>
            </w:r>
          </w:p>
        </w:tc>
        <w:tc>
          <w:tcPr>
            <w:tcW w:type="dxa" w:w="3380"/>
            <w:tcBorders>
              <w:top w:val="single" w:color="AACCDD" w:sz="1"/>
              <w:left w:val="single" w:color="AACCDD" w:sz="1"/>
              <w:bottom w:val="single" w:color="AACCDD" w:sz="1"/>
              <w:right w:val="single" w:color="AACCDD" w:sz="1"/>
            </w:tcBorders>
            <w:shd w:fill="E8F4FD" w:val="clear"/>
            <w:tcMar>
              <w:top w:type="dxa" w:w="80"/>
              <w:left w:type="dxa" w:w="120"/>
              <w:bottom w:type="dxa" w:w="80"/>
              <w:right w:type="dxa" w:w="120"/>
            </w:tcMar>
          </w:tcPr>
          <w:p>
            <w:r>
              <w:rPr>
                <w:rFonts w:ascii="Arial" w:cs="Arial" w:eastAsia="Arial" w:hAnsi="Arial"/>
                <w:color w:val="1A1A2E"/>
                <w:sz w:val="19"/>
                <w:szCs w:val="19"/>
              </w:rPr>
              <w:t xml:space="preserve">Disperso: comunidades, ONGs, fondos p2p</w:t>
            </w:r>
          </w:p>
        </w:tc>
      </w:tr>
      <w:tr>
        <w:tc>
          <w:tcPr>
            <w:tcW w:type="dxa" w:w="260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Vulnerabilidad sistémica</w:t>
            </w:r>
          </w:p>
        </w:tc>
        <w:tc>
          <w:tcPr>
            <w:tcW w:type="dxa" w:w="338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Un solo centro de decisión (destruible)</w:t>
            </w:r>
          </w:p>
        </w:tc>
        <w:tc>
          <w:tcPr>
            <w:tcW w:type="dxa" w:w="338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Distribuida: sin centro único atacable</w:t>
            </w:r>
          </w:p>
        </w:tc>
      </w:tr>
    </w:tbl>
    <w:p>
      <w:pPr>
        <w:spacing w:after="80"/>
      </w:pPr>
    </w:p>
    <w:p>
      <w:pPr>
        <w:spacing w:after="120" w:before="60" w:line="276"/>
        <w:jc w:val="both"/>
      </w:pPr>
      <w:r>
        <w:rPr>
          <w:rFonts w:ascii="Arial" w:cs="Arial" w:eastAsia="Arial" w:hAnsi="Arial"/>
          <w:color w:val="1A1A2E"/>
          <w:sz w:val="21"/>
          <w:szCs w:val="21"/>
        </w:rPr>
        <w:t xml:space="preserve">La clave de la resiliencia de la Nueva Misión Tecnológica respecto a su predecesora histórica es la distribución. Las misiones jesuíticas podían ser destruidas mediante la expulsión de su único vector institucional. Un sistema de conocimiento open source distribuido en miles de nodos autónomos no tiene un centro que expulsar. Cada comunidad que replica la tecnología se convierte en un nuevo nodo emisor independiente del original.</w:t>
      </w:r>
    </w:p>
    <w:p>
      <w:pPr>
        <w:pBdr>
          <w:left w:val="single" w:color="1A4A7A" w:sz="6" w:space="8"/>
        </w:pBdr>
        <w:spacing w:after="160" w:before="160"/>
        <w:ind w:left="480" w:right="480"/>
        <w:jc w:val="center"/>
      </w:pPr>
      <w:r>
        <w:rPr>
          <w:rFonts w:ascii="Arial" w:cs="Arial" w:eastAsia="Arial" w:hAnsi="Arial"/>
          <w:b/>
          <w:bCs/>
          <w:i/>
          <w:iCs/>
          <w:color w:val="2E4A6E"/>
          <w:sz w:val="21"/>
          <w:szCs w:val="21"/>
        </w:rPr>
        <w:t xml:space="preserve">Esto es la arquitectura fractal aplicada a la intervención social: el mismo patrón replicado en cada escala, sin jerarquía central, sin punto único de fallo.</w:t>
      </w:r>
    </w:p>
    <w:p>
      <w:r>
        <w:br w:type="page"/>
      </w:r>
    </w:p>
    <w:p>
      <w:pPr>
        <w:spacing w:after="200" w:before="200"/>
        <w:jc w:val="center"/>
      </w:pPr>
      <w:r>
        <w:rPr>
          <w:rFonts w:ascii="Arial" w:cs="Arial" w:eastAsia="Arial" w:hAnsi="Arial"/>
          <w:b/>
          <w:bCs/>
          <w:color w:val="1A1A2E"/>
          <w:sz w:val="32"/>
          <w:szCs w:val="32"/>
        </w:rPr>
        <w:t xml:space="preserve">PARTE III — ECONOMÍA DISIPATIVA</w:t>
      </w:r>
    </w:p>
    <w:p>
      <w:r>
        <w:br w:type="page"/>
      </w:r>
    </w:p>
    <w:p>
      <w:pPr>
        <w:pStyle w:val="Heading1"/>
        <w:spacing w:after="180" w:before="400"/>
      </w:pPr>
      <w:r>
        <w:rPr>
          <w:rFonts w:ascii="Arial" w:cs="Arial" w:eastAsia="Arial" w:hAnsi="Arial"/>
          <w:b/>
          <w:bCs/>
          <w:color w:val="1A1A2E"/>
          <w:sz w:val="30"/>
          <w:szCs w:val="30"/>
        </w:rPr>
        <w:t xml:space="preserve">9. Economía Disipativa: Propuesta de una Nueva Escuela</w:t>
      </w:r>
    </w:p>
    <w:p>
      <w:pPr>
        <w:spacing w:after="120" w:before="60" w:line="276"/>
        <w:jc w:val="both"/>
      </w:pPr>
      <w:r>
        <w:rPr>
          <w:rFonts w:ascii="Arial" w:cs="Arial" w:eastAsia="Arial" w:hAnsi="Arial"/>
          <w:color w:val="1A1A2E"/>
          <w:sz w:val="21"/>
          <w:szCs w:val="21"/>
        </w:rPr>
        <w:t xml:space="preserve">El conjunto de argumentos desarrollados en este trabajo constituye los fundamentos de un campo teórico que proponemos denominar formalmente Economía Disipativa. El término no es una redenominación de campos existentes. Designa una escuela con principios, herramientas y agenda de investigación propios.</w:t>
      </w:r>
    </w:p>
    <w:p>
      <w:pPr>
        <w:pStyle w:val="Heading2"/>
        <w:spacing w:after="130" w:before="260"/>
      </w:pPr>
      <w:r>
        <w:rPr>
          <w:rFonts w:ascii="Arial" w:cs="Arial" w:eastAsia="Arial" w:hAnsi="Arial"/>
          <w:b/>
          <w:bCs/>
          <w:color w:val="16213E"/>
          <w:sz w:val="24"/>
          <w:szCs w:val="24"/>
        </w:rPr>
        <w:t xml:space="preserve">9.1 Diferenciación respecto a Campos Existentes</w:t>
      </w:r>
    </w:p>
    <w:p>
      <w:pPr>
        <w:spacing w:after="120" w:before="60" w:line="276"/>
        <w:jc w:val="both"/>
      </w:pPr>
      <w:r>
        <w:rPr>
          <w:rFonts w:ascii="Arial" w:cs="Arial" w:eastAsia="Arial" w:hAnsi="Arial"/>
          <w:color w:val="1A1A2E"/>
          <w:sz w:val="21"/>
          <w:szCs w:val="21"/>
        </w:rPr>
        <w:t xml:space="preserve">Nicholas Georgescu-Roegen introdujo en 1971 la Segunda Ley de la Termodinámica en el análisis económico. Su contribución fue fundamental: demostró que los procesos económicos son procesos físicos irreversibles sujetos a la degradación entrópica. Sin embargo, su aplicación se limitó al análisis de recursos naturales. No extendió el marco al comportamiento social ni a la dinámica institucional.</w:t>
      </w:r>
    </w:p>
    <w:p>
      <w:pPr>
        <w:spacing w:after="120" w:before="60" w:line="276"/>
        <w:jc w:val="both"/>
      </w:pPr>
      <w:r>
        <w:rPr>
          <w:rFonts w:ascii="Arial" w:cs="Arial" w:eastAsia="Arial" w:hAnsi="Arial"/>
          <w:color w:val="1A1A2E"/>
          <w:sz w:val="21"/>
          <w:szCs w:val="21"/>
        </w:rPr>
        <w:t xml:space="preserve">La Bioeconomía y la Economía Ecológica (Daly, Costanza) ampliaron el marco hacia la sostenibilidad ambiental pero mantuvieron el comportamiento humano como variable exógena al modelo físico. La Economía de la Complejidad (Arthur, Santa Fe Institute) modeló los sistemas económicos como sistemas adaptativos complejos, pero sin anclaje explícito en la termodinámica de no equilibrio.</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AACCDD" w:sz="1"/>
              <w:left w:val="single" w:color="AACCDD" w:sz="1"/>
              <w:bottom w:val="single" w:color="AACCDD" w:sz="1"/>
              <w:right w:val="single" w:color="AACCDD" w:sz="1"/>
            </w:tcBorders>
            <w:shd w:fill="1A4A7A" w:val="clear"/>
            <w:tcMar>
              <w:top w:type="dxa" w:w="80"/>
              <w:left w:type="dxa" w:w="120"/>
              <w:bottom w:type="dxa" w:w="80"/>
              <w:right w:type="dxa" w:w="120"/>
            </w:tcMar>
          </w:tcPr>
          <w:p>
            <w:r>
              <w:rPr>
                <w:rFonts w:ascii="Arial" w:cs="Arial" w:eastAsia="Arial" w:hAnsi="Arial"/>
                <w:b/>
                <w:bCs/>
                <w:color w:val="FFFFFF"/>
                <w:sz w:val="19"/>
                <w:szCs w:val="19"/>
              </w:rPr>
              <w:t xml:space="preserve">Campo</w:t>
            </w:r>
          </w:p>
        </w:tc>
        <w:tc>
          <w:tcPr>
            <w:tcW w:type="dxa" w:w="3200"/>
            <w:tcBorders>
              <w:top w:val="single" w:color="AACCDD" w:sz="1"/>
              <w:left w:val="single" w:color="AACCDD" w:sz="1"/>
              <w:bottom w:val="single" w:color="AACCDD" w:sz="1"/>
              <w:right w:val="single" w:color="AACCDD" w:sz="1"/>
            </w:tcBorders>
            <w:shd w:fill="1A4A7A" w:val="clear"/>
            <w:tcMar>
              <w:top w:type="dxa" w:w="80"/>
              <w:left w:type="dxa" w:w="120"/>
              <w:bottom w:type="dxa" w:w="80"/>
              <w:right w:type="dxa" w:w="120"/>
            </w:tcMar>
          </w:tcPr>
          <w:p>
            <w:r>
              <w:rPr>
                <w:rFonts w:ascii="Arial" w:cs="Arial" w:eastAsia="Arial" w:hAnsi="Arial"/>
                <w:b/>
                <w:bCs/>
                <w:color w:val="FFFFFF"/>
                <w:sz w:val="19"/>
                <w:szCs w:val="19"/>
              </w:rPr>
              <w:t xml:space="preserve">Aporte central</w:t>
            </w:r>
          </w:p>
        </w:tc>
        <w:tc>
          <w:tcPr>
            <w:tcW w:type="dxa" w:w="3360"/>
            <w:tcBorders>
              <w:top w:val="single" w:color="AACCDD" w:sz="1"/>
              <w:left w:val="single" w:color="AACCDD" w:sz="1"/>
              <w:bottom w:val="single" w:color="AACCDD" w:sz="1"/>
              <w:right w:val="single" w:color="AACCDD" w:sz="1"/>
            </w:tcBorders>
            <w:shd w:fill="1A4A7A" w:val="clear"/>
            <w:tcMar>
              <w:top w:type="dxa" w:w="80"/>
              <w:left w:type="dxa" w:w="120"/>
              <w:bottom w:type="dxa" w:w="80"/>
              <w:right w:type="dxa" w:w="120"/>
            </w:tcMar>
          </w:tcPr>
          <w:p>
            <w:r>
              <w:rPr>
                <w:rFonts w:ascii="Arial" w:cs="Arial" w:eastAsia="Arial" w:hAnsi="Arial"/>
                <w:b/>
                <w:bCs/>
                <w:color w:val="FFFFFF"/>
                <w:sz w:val="19"/>
                <w:szCs w:val="19"/>
              </w:rPr>
              <w:t xml:space="preserve">Límite respecto a la ED</w:t>
            </w:r>
          </w:p>
        </w:tc>
      </w:tr>
      <w:tr>
        <w:tc>
          <w:tcPr>
            <w:tcW w:type="dxa" w:w="2800"/>
            <w:tcBorders>
              <w:top w:val="single" w:color="AACCDD" w:sz="1"/>
              <w:left w:val="single" w:color="AACCDD" w:sz="1"/>
              <w:bottom w:val="single" w:color="AACCDD" w:sz="1"/>
              <w:right w:val="single" w:color="AACCDD" w:sz="1"/>
            </w:tcBorders>
            <w:shd w:fill="E8F4FD" w:val="clear"/>
            <w:tcMar>
              <w:top w:type="dxa" w:w="80"/>
              <w:left w:type="dxa" w:w="120"/>
              <w:bottom w:type="dxa" w:w="80"/>
              <w:right w:type="dxa" w:w="120"/>
            </w:tcMar>
          </w:tcPr>
          <w:p>
            <w:r>
              <w:rPr>
                <w:rFonts w:ascii="Arial" w:cs="Arial" w:eastAsia="Arial" w:hAnsi="Arial"/>
                <w:color w:val="1A1A2E"/>
                <w:sz w:val="19"/>
                <w:szCs w:val="19"/>
              </w:rPr>
              <w:t xml:space="preserve">Termoeconomía (Georgescu-Roegen)</w:t>
            </w:r>
          </w:p>
        </w:tc>
        <w:tc>
          <w:tcPr>
            <w:tcW w:type="dxa" w:w="3200"/>
            <w:tcBorders>
              <w:top w:val="single" w:color="AACCDD" w:sz="1"/>
              <w:left w:val="single" w:color="AACCDD" w:sz="1"/>
              <w:bottom w:val="single" w:color="AACCDD" w:sz="1"/>
              <w:right w:val="single" w:color="AACCDD" w:sz="1"/>
            </w:tcBorders>
            <w:shd w:fill="E8F4FD" w:val="clear"/>
            <w:tcMar>
              <w:top w:type="dxa" w:w="80"/>
              <w:left w:type="dxa" w:w="120"/>
              <w:bottom w:type="dxa" w:w="80"/>
              <w:right w:type="dxa" w:w="120"/>
            </w:tcMar>
          </w:tcPr>
          <w:p>
            <w:r>
              <w:rPr>
                <w:rFonts w:ascii="Arial" w:cs="Arial" w:eastAsia="Arial" w:hAnsi="Arial"/>
                <w:color w:val="1A1A2E"/>
                <w:sz w:val="19"/>
                <w:szCs w:val="19"/>
              </w:rPr>
              <w:t xml:space="preserve">Entropía en procesos productivos</w:t>
            </w:r>
          </w:p>
        </w:tc>
        <w:tc>
          <w:tcPr>
            <w:tcW w:type="dxa" w:w="3360"/>
            <w:tcBorders>
              <w:top w:val="single" w:color="AACCDD" w:sz="1"/>
              <w:left w:val="single" w:color="AACCDD" w:sz="1"/>
              <w:bottom w:val="single" w:color="AACCDD" w:sz="1"/>
              <w:right w:val="single" w:color="AACCDD" w:sz="1"/>
            </w:tcBorders>
            <w:shd w:fill="E8F4FD" w:val="clear"/>
            <w:tcMar>
              <w:top w:type="dxa" w:w="80"/>
              <w:left w:type="dxa" w:w="120"/>
              <w:bottom w:type="dxa" w:w="80"/>
              <w:right w:type="dxa" w:w="120"/>
            </w:tcMar>
          </w:tcPr>
          <w:p>
            <w:r>
              <w:rPr>
                <w:rFonts w:ascii="Arial" w:cs="Arial" w:eastAsia="Arial" w:hAnsi="Arial"/>
                <w:color w:val="1A1A2E"/>
                <w:sz w:val="19"/>
                <w:szCs w:val="19"/>
              </w:rPr>
              <w:t xml:space="preserve">No extiende al comportamiento social ni institucional</w:t>
            </w:r>
          </w:p>
        </w:tc>
      </w:tr>
      <w:tr>
        <w:tc>
          <w:tcPr>
            <w:tcW w:type="dxa" w:w="280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Economía Ecológica (Daly)</w:t>
            </w:r>
          </w:p>
        </w:tc>
        <w:tc>
          <w:tcPr>
            <w:tcW w:type="dxa" w:w="320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Límites biofísicos del crecimiento</w:t>
            </w:r>
          </w:p>
        </w:tc>
        <w:tc>
          <w:tcPr>
            <w:tcW w:type="dxa" w:w="336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Comportamiento humano sigue siendo exógeno</w:t>
            </w:r>
          </w:p>
        </w:tc>
      </w:tr>
      <w:tr>
        <w:tc>
          <w:tcPr>
            <w:tcW w:type="dxa" w:w="2800"/>
            <w:tcBorders>
              <w:top w:val="single" w:color="AACCDD" w:sz="1"/>
              <w:left w:val="single" w:color="AACCDD" w:sz="1"/>
              <w:bottom w:val="single" w:color="AACCDD" w:sz="1"/>
              <w:right w:val="single" w:color="AACCDD" w:sz="1"/>
            </w:tcBorders>
            <w:shd w:fill="E8F4FD" w:val="clear"/>
            <w:tcMar>
              <w:top w:type="dxa" w:w="80"/>
              <w:left w:type="dxa" w:w="120"/>
              <w:bottom w:type="dxa" w:w="80"/>
              <w:right w:type="dxa" w:w="120"/>
            </w:tcMar>
          </w:tcPr>
          <w:p>
            <w:r>
              <w:rPr>
                <w:rFonts w:ascii="Arial" w:cs="Arial" w:eastAsia="Arial" w:hAnsi="Arial"/>
                <w:color w:val="1A1A2E"/>
                <w:sz w:val="19"/>
                <w:szCs w:val="19"/>
              </w:rPr>
              <w:t xml:space="preserve">Economía de la Complejidad (Arthur)</w:t>
            </w:r>
          </w:p>
        </w:tc>
        <w:tc>
          <w:tcPr>
            <w:tcW w:type="dxa" w:w="3200"/>
            <w:tcBorders>
              <w:top w:val="single" w:color="AACCDD" w:sz="1"/>
              <w:left w:val="single" w:color="AACCDD" w:sz="1"/>
              <w:bottom w:val="single" w:color="AACCDD" w:sz="1"/>
              <w:right w:val="single" w:color="AACCDD" w:sz="1"/>
            </w:tcBorders>
            <w:shd w:fill="E8F4FD" w:val="clear"/>
            <w:tcMar>
              <w:top w:type="dxa" w:w="80"/>
              <w:left w:type="dxa" w:w="120"/>
              <w:bottom w:type="dxa" w:w="80"/>
              <w:right w:type="dxa" w:w="120"/>
            </w:tcMar>
          </w:tcPr>
          <w:p>
            <w:r>
              <w:rPr>
                <w:rFonts w:ascii="Arial" w:cs="Arial" w:eastAsia="Arial" w:hAnsi="Arial"/>
                <w:color w:val="1A1A2E"/>
                <w:sz w:val="19"/>
                <w:szCs w:val="19"/>
              </w:rPr>
              <w:t xml:space="preserve">Sistemas adaptativos, emergencia</w:t>
            </w:r>
          </w:p>
        </w:tc>
        <w:tc>
          <w:tcPr>
            <w:tcW w:type="dxa" w:w="3360"/>
            <w:tcBorders>
              <w:top w:val="single" w:color="AACCDD" w:sz="1"/>
              <w:left w:val="single" w:color="AACCDD" w:sz="1"/>
              <w:bottom w:val="single" w:color="AACCDD" w:sz="1"/>
              <w:right w:val="single" w:color="AACCDD" w:sz="1"/>
            </w:tcBorders>
            <w:shd w:fill="E8F4FD" w:val="clear"/>
            <w:tcMar>
              <w:top w:type="dxa" w:w="80"/>
              <w:left w:type="dxa" w:w="120"/>
              <w:bottom w:type="dxa" w:w="80"/>
              <w:right w:type="dxa" w:w="120"/>
            </w:tcMar>
          </w:tcPr>
          <w:p>
            <w:r>
              <w:rPr>
                <w:rFonts w:ascii="Arial" w:cs="Arial" w:eastAsia="Arial" w:hAnsi="Arial"/>
                <w:color w:val="1A1A2E"/>
                <w:sz w:val="19"/>
                <w:szCs w:val="19"/>
              </w:rPr>
              <w:t xml:space="preserve">Sin anclaje en termodinámica de no equilibrio</w:t>
            </w:r>
          </w:p>
        </w:tc>
      </w:tr>
      <w:tr>
        <w:tc>
          <w:tcPr>
            <w:tcW w:type="dxa" w:w="280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Economía Disipativa (Herrero)</w:t>
            </w:r>
          </w:p>
        </w:tc>
        <w:tc>
          <w:tcPr>
            <w:tcW w:type="dxa" w:w="320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Sistema social completo como disipativo</w:t>
            </w:r>
          </w:p>
        </w:tc>
        <w:tc>
          <w:tcPr>
            <w:tcW w:type="dxa" w:w="336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Incluye comportamiento, instituciones, conflicto e intervención</w:t>
            </w:r>
          </w:p>
        </w:tc>
      </w:tr>
    </w:tbl>
    <w:p>
      <w:pPr>
        <w:spacing w:after="80"/>
      </w:pPr>
    </w:p>
    <w:p>
      <w:pPr>
        <w:pStyle w:val="Heading2"/>
        <w:spacing w:after="130" w:before="260"/>
      </w:pPr>
      <w:r>
        <w:rPr>
          <w:rFonts w:ascii="Arial" w:cs="Arial" w:eastAsia="Arial" w:hAnsi="Arial"/>
          <w:b/>
          <w:bCs/>
          <w:color w:val="16213E"/>
          <w:sz w:val="24"/>
          <w:szCs w:val="24"/>
        </w:rPr>
        <w:t xml:space="preserve">9.2 Los Seis Principios Fundacionales</w:t>
      </w:r>
    </w:p>
    <w:p>
      <w:pPr>
        <w:pStyle w:val="Heading3"/>
        <w:spacing w:after="100" w:before="200"/>
      </w:pPr>
      <w:r>
        <w:rPr>
          <w:rFonts w:ascii="Arial" w:cs="Arial" w:eastAsia="Arial" w:hAnsi="Arial"/>
          <w:b/>
          <w:bCs/>
          <w:color w:val="1A4A7A"/>
          <w:sz w:val="22"/>
          <w:szCs w:val="22"/>
        </w:rPr>
        <w:t xml:space="preserve">Principio I — Las Sociedades son Sistemas Disipativos</w:t>
      </w:r>
    </w:p>
    <w:p>
      <w:pPr>
        <w:spacing w:after="120" w:before="60" w:line="276"/>
        <w:jc w:val="both"/>
      </w:pPr>
      <w:r>
        <w:rPr>
          <w:rFonts w:ascii="Arial" w:cs="Arial" w:eastAsia="Arial" w:hAnsi="Arial"/>
          <w:color w:val="1A1A2E"/>
          <w:sz w:val="21"/>
          <w:szCs w:val="21"/>
        </w:rPr>
        <w:t xml:space="preserve">Los sistemas sociales no son sistemas mecánicos que tienden al equilibrio estático. Son sistemas disipativos abiertos que mantienen orden dinámico a través de flujo energético continuo. Esta no es una metáfora. Es una clasificación física.</w:t>
      </w:r>
    </w:p>
    <w:p>
      <w:pPr>
        <w:pStyle w:val="Heading3"/>
        <w:spacing w:after="100" w:before="200"/>
      </w:pPr>
      <w:r>
        <w:rPr>
          <w:rFonts w:ascii="Arial" w:cs="Arial" w:eastAsia="Arial" w:hAnsi="Arial"/>
          <w:b/>
          <w:bCs/>
          <w:color w:val="1A4A7A"/>
          <w:sz w:val="22"/>
          <w:szCs w:val="22"/>
        </w:rPr>
        <w:t xml:space="preserve">Principio II — El Comportamiento Emerge del Gradiente</w:t>
      </w:r>
    </w:p>
    <w:p>
      <w:pPr>
        <w:spacing w:after="120" w:before="60" w:line="276"/>
        <w:jc w:val="both"/>
      </w:pPr>
      <w:r>
        <w:rPr>
          <w:rFonts w:ascii="Arial" w:cs="Arial" w:eastAsia="Arial" w:hAnsi="Arial"/>
          <w:color w:val="1A1A2E"/>
          <w:sz w:val="21"/>
          <w:szCs w:val="21"/>
        </w:rPr>
        <w:t xml:space="preserve">El comportamiento de los agentes sociales no es una variable independiente. Es una función directa de las condiciones energéticas del sistema que habitan. La violencia, la cooperación, la creatividad y la destrucción son respuestas físicas al gradiente y la viscosidad del entorno, no expresiones de naturaleza intrínseca.</w:t>
      </w:r>
    </w:p>
    <w:p>
      <w:pPr>
        <w:pStyle w:val="Heading3"/>
        <w:spacing w:after="100" w:before="200"/>
      </w:pPr>
      <w:r>
        <w:rPr>
          <w:rFonts w:ascii="Arial" w:cs="Arial" w:eastAsia="Arial" w:hAnsi="Arial"/>
          <w:b/>
          <w:bCs/>
          <w:color w:val="1A4A7A"/>
          <w:sz w:val="22"/>
          <w:szCs w:val="22"/>
        </w:rPr>
        <w:t xml:space="preserve">Principio III — La Institucionalidad es Viscosidad</w:t>
      </w:r>
    </w:p>
    <w:p>
      <w:pPr>
        <w:spacing w:after="120" w:before="60" w:line="276"/>
        <w:jc w:val="both"/>
      </w:pPr>
      <w:r>
        <w:rPr>
          <w:rFonts w:ascii="Arial" w:cs="Arial" w:eastAsia="Arial" w:hAnsi="Arial"/>
          <w:color w:val="1A1A2E"/>
          <w:sz w:val="21"/>
          <w:szCs w:val="21"/>
        </w:rPr>
        <w:t xml:space="preserve">La calidad institucional no es una variable cultural o histórica indefinida. Es la viscosidad dinámica del sistema social: su capacidad de absorber y redirigir flujos energéticos sin generar fricción destructiva. Es medible, comparable y modificable mediante intervención dirigida.</w:t>
      </w:r>
    </w:p>
    <w:p>
      <w:pPr>
        <w:pStyle w:val="Heading3"/>
        <w:spacing w:after="100" w:before="200"/>
      </w:pPr>
      <w:r>
        <w:rPr>
          <w:rFonts w:ascii="Arial" w:cs="Arial" w:eastAsia="Arial" w:hAnsi="Arial"/>
          <w:b/>
          <w:bCs/>
          <w:color w:val="1A4A7A"/>
          <w:sz w:val="22"/>
          <w:szCs w:val="22"/>
        </w:rPr>
        <w:t xml:space="preserve">Principio IV — La Intervención debe Reducir el Reynolds Social</w:t>
      </w:r>
    </w:p>
    <w:p>
      <w:pPr>
        <w:spacing w:after="120" w:before="60" w:line="276"/>
        <w:jc w:val="both"/>
      </w:pPr>
      <w:r>
        <w:rPr>
          <w:rFonts w:ascii="Arial" w:cs="Arial" w:eastAsia="Arial" w:hAnsi="Arial"/>
          <w:color w:val="1A1A2E"/>
          <w:sz w:val="21"/>
          <w:szCs w:val="21"/>
        </w:rPr>
        <w:t xml:space="preserve">Toda intervención económica o política debe evaluarse por su efecto sobre el Número de Reynolds Social. La pregunta correcta no es ¿está creciendo la economía? sino ¿está reduciéndose el Re_s? El crecimiento con aumento de Re_s es acumulación de presión. La estabilización con Re_s decreciente es desarrollo real.</w:t>
      </w:r>
    </w:p>
    <w:p>
      <w:pPr>
        <w:pStyle w:val="Heading3"/>
        <w:spacing w:after="100" w:before="200"/>
      </w:pPr>
      <w:r>
        <w:rPr>
          <w:rFonts w:ascii="Arial" w:cs="Arial" w:eastAsia="Arial" w:hAnsi="Arial"/>
          <w:b/>
          <w:bCs/>
          <w:color w:val="1A4A7A"/>
          <w:sz w:val="22"/>
          <w:szCs w:val="22"/>
        </w:rPr>
        <w:t xml:space="preserve">Principio V — La Distribución es Necesidad Física, no Ética</w:t>
      </w:r>
    </w:p>
    <w:p>
      <w:pPr>
        <w:spacing w:after="120" w:before="60" w:line="276"/>
        <w:jc w:val="both"/>
      </w:pPr>
      <w:r>
        <w:rPr>
          <w:rFonts w:ascii="Arial" w:cs="Arial" w:eastAsia="Arial" w:hAnsi="Arial"/>
          <w:color w:val="1A1A2E"/>
          <w:sz w:val="21"/>
          <w:szCs w:val="21"/>
        </w:rPr>
        <w:t xml:space="preserve">La distribución de recursos no es una cuestión de justicia distributiva en primer lugar. Es una necesidad termodinámica para la estabilización del sistema. Un sistema global de Re_s creciente colapsa independientemente de las intenciones morales de sus agentes. La redistribución es ingeniería de sistemas, no filantropía.</w:t>
      </w:r>
    </w:p>
    <w:p>
      <w:pPr>
        <w:pStyle w:val="Heading3"/>
        <w:spacing w:after="100" w:before="200"/>
      </w:pPr>
      <w:r>
        <w:rPr>
          <w:rFonts w:ascii="Arial" w:cs="Arial" w:eastAsia="Arial" w:hAnsi="Arial"/>
          <w:b/>
          <w:bCs/>
          <w:color w:val="1A4A7A"/>
          <w:sz w:val="22"/>
          <w:szCs w:val="22"/>
        </w:rPr>
        <w:t xml:space="preserve">Principio VI — El Mismo Principio Opera en Todas las Escalas</w:t>
      </w:r>
    </w:p>
    <w:p>
      <w:pPr>
        <w:spacing w:after="120" w:before="60" w:line="276"/>
        <w:jc w:val="both"/>
      </w:pPr>
      <w:r>
        <w:rPr>
          <w:rFonts w:ascii="Arial" w:cs="Arial" w:eastAsia="Arial" w:hAnsi="Arial"/>
          <w:color w:val="1A1A2E"/>
          <w:sz w:val="21"/>
          <w:szCs w:val="21"/>
        </w:rPr>
        <w:t xml:space="preserve">El principio disipativo que gobierna el origen de la vida a escala molecular, la estabilidad del ecosistema a escala biológica y la cohesión social a escala civilizatoria es el mismo principio. La Economía Disipativa es la aplicación de ese principio universal a la escala de las decisiones colectivas humanas. Esto es el Cosmos Vector Fractal aplicado a la política económica [14].</w:t>
      </w:r>
    </w:p>
    <w:p>
      <w:pPr>
        <w:pStyle w:val="Heading2"/>
        <w:spacing w:after="130" w:before="260"/>
      </w:pPr>
      <w:r>
        <w:rPr>
          <w:rFonts w:ascii="Arial" w:cs="Arial" w:eastAsia="Arial" w:hAnsi="Arial"/>
          <w:b/>
          <w:bCs/>
          <w:color w:val="16213E"/>
          <w:sz w:val="24"/>
          <w:szCs w:val="24"/>
        </w:rPr>
        <w:t xml:space="preserve">9.3 La Herramienta Central: el Número de Reynolds Social</w:t>
      </w:r>
    </w:p>
    <w:p>
      <w:pPr>
        <w:spacing w:after="120" w:before="60" w:line="276"/>
        <w:jc w:val="both"/>
      </w:pPr>
      <w:r>
        <w:rPr>
          <w:rFonts w:ascii="Arial" w:cs="Arial" w:eastAsia="Arial" w:hAnsi="Arial"/>
          <w:color w:val="1A1A2E"/>
          <w:sz w:val="21"/>
          <w:szCs w:val="21"/>
        </w:rPr>
        <w:t xml:space="preserve">Lo que convierte a la Economía Disipativa en una escuela y no en una filosofía es que provee una herramienta operacional que cualquier investigador puede aplicar a datos reales: el Número de Reynolds Social (Re_s).</w:t>
      </w:r>
    </w:p>
    <w:p>
      <w:pPr>
        <w:spacing w:after="120" w:before="60" w:line="276"/>
        <w:jc w:val="both"/>
      </w:pPr>
      <w:r>
        <w:rPr>
          <w:rFonts w:ascii="Arial" w:cs="Arial" w:eastAsia="Arial" w:hAnsi="Arial"/>
          <w:color w:val="1A1A2E"/>
          <w:sz w:val="21"/>
          <w:szCs w:val="21"/>
        </w:rPr>
        <w:t xml:space="preserve">El Re_s permite clasificar cualquier sistema social en un espectro continuo desde el régimen laminar hasta el régimen turbulento, comparar sistemas entre sí y a través del tiempo, predecir trayectorias sistémicas antes de que las crisis se manifiesten como turbulencia abierta, y evaluar intervenciones por su efecto medible sobre el Re_s.</w:t>
      </w:r>
    </w:p>
    <w:p>
      <w:pPr>
        <w:pBdr>
          <w:left w:val="single" w:color="1A4A7A" w:sz="6" w:space="8"/>
        </w:pBdr>
        <w:spacing w:after="160" w:before="160"/>
        <w:ind w:left="480" w:right="480"/>
        <w:jc w:val="center"/>
      </w:pPr>
      <w:r>
        <w:rPr>
          <w:rFonts w:ascii="Arial" w:cs="Arial" w:eastAsia="Arial" w:hAnsi="Arial"/>
          <w:b/>
          <w:bCs/>
          <w:i/>
          <w:iCs/>
          <w:color w:val="2E4A6E"/>
          <w:sz w:val="21"/>
          <w:szCs w:val="21"/>
        </w:rPr>
        <w:t xml:space="preserve">Una escuela económica no se define por sus conclusiones morales. Se define por sus herramientas. El Re_s es la herramienta que la Economía Disipativa aporta al campo.</w:t>
      </w:r>
    </w:p>
    <w:p>
      <w:pPr>
        <w:pStyle w:val="Heading2"/>
        <w:spacing w:after="130" w:before="260"/>
      </w:pPr>
      <w:r>
        <w:rPr>
          <w:rFonts w:ascii="Arial" w:cs="Arial" w:eastAsia="Arial" w:hAnsi="Arial"/>
          <w:b/>
          <w:bCs/>
          <w:color w:val="16213E"/>
          <w:sz w:val="24"/>
          <w:szCs w:val="24"/>
        </w:rPr>
        <w:t xml:space="preserve">9.4 Agenda de Investigación</w:t>
      </w:r>
    </w:p>
    <w:p>
      <w:pPr>
        <w:spacing w:after="120" w:before="60" w:line="276"/>
        <w:jc w:val="both"/>
      </w:pPr>
      <w:r>
        <w:rPr>
          <w:rFonts w:ascii="Arial" w:cs="Arial" w:eastAsia="Arial" w:hAnsi="Arial"/>
          <w:color w:val="1A1A2E"/>
          <w:sz w:val="21"/>
          <w:szCs w:val="21"/>
        </w:rPr>
        <w:t xml:space="preserve">La Economía Disipativa como escuela emergente propone la siguiente agenda de investigación prioritaria: (1) operacionalización empírica del Re_s con indicadores compuestos calculables desde datos de organismos internacionales; (2) validación de las siete predicciones falsables mediante análisis de series temporales en datos de acceso público; (3) diseño y seguimiento de intervenciones IDD piloto en comunidades de alta presión para generar datos propios; (4) formalización matemática del modelo mediante ecuaciones diferenciales de sistemas disipativos aplicadas a variables sociales medibles; (5) construcción de una red académica internacional de investigadores en física, economía, sociología y ciencia política que adopten el marco disipativo como lenguaje común de análisis.</w:t>
      </w:r>
    </w:p>
    <w:p>
      <w:r>
        <w:br w:type="page"/>
      </w:r>
    </w:p>
    <w:p>
      <w:pPr>
        <w:spacing w:after="200" w:before="200"/>
        <w:jc w:val="center"/>
      </w:pPr>
      <w:r>
        <w:rPr>
          <w:rFonts w:ascii="Arial" w:cs="Arial" w:eastAsia="Arial" w:hAnsi="Arial"/>
          <w:b/>
          <w:bCs/>
          <w:color w:val="1A1A2E"/>
          <w:sz w:val="32"/>
          <w:szCs w:val="32"/>
        </w:rPr>
        <w:t xml:space="preserve">PARTE IV — ANEXO CRÍTICO</w:t>
      </w:r>
    </w:p>
    <w:p>
      <w:r>
        <w:br w:type="page"/>
      </w:r>
    </w:p>
    <w:p>
      <w:pPr>
        <w:pStyle w:val="Heading1"/>
        <w:spacing w:after="180" w:before="400"/>
      </w:pPr>
      <w:r>
        <w:rPr>
          <w:rFonts w:ascii="Arial" w:cs="Arial" w:eastAsia="Arial" w:hAnsi="Arial"/>
          <w:b/>
          <w:bCs/>
          <w:color w:val="1A1A2E"/>
          <w:sz w:val="30"/>
          <w:szCs w:val="30"/>
        </w:rPr>
        <w:t xml:space="preserve">10. Por qué Fallan las Escuelas Económicas y Políticas</w:t>
      </w:r>
    </w:p>
    <w:p>
      <w:pPr>
        <w:spacing w:after="120" w:before="60" w:line="276"/>
        <w:jc w:val="both"/>
      </w:pPr>
      <w:r>
        <w:rPr>
          <w:rFonts w:ascii="Arial" w:cs="Arial" w:eastAsia="Arial" w:hAnsi="Arial"/>
          <w:color w:val="1A1A2E"/>
          <w:sz w:val="21"/>
          <w:szCs w:val="21"/>
        </w:rPr>
        <w:t xml:space="preserve">Todas las grandes escuelas económicas y políticas de los últimos tres siglos comparten un único fracaso epistemológico: modelan sistemas físicos disipativos usando marcos que violan la naturaleza termodinámica de esos sistemas. No es una crítica a las intenciones ni a la sofisticación matemática. Es una crítica categórica: los marcos en sí mismos están construidos sobre supuestos que son físicamente imposibles para la clase de sistema que se intenta modelar.</w:t>
      </w:r>
    </w:p>
    <w:p>
      <w:pPr>
        <w:pBdr>
          <w:left w:val="single" w:color="1A4A7A" w:sz="6" w:space="8"/>
        </w:pBdr>
        <w:spacing w:after="160" w:before="160"/>
        <w:ind w:left="480" w:right="480"/>
        <w:jc w:val="center"/>
      </w:pPr>
      <w:r>
        <w:rPr>
          <w:rFonts w:ascii="Arial" w:cs="Arial" w:eastAsia="Arial" w:hAnsi="Arial"/>
          <w:b/>
          <w:bCs/>
          <w:i/>
          <w:iCs/>
          <w:color w:val="2E4A6E"/>
          <w:sz w:val="21"/>
          <w:szCs w:val="21"/>
        </w:rPr>
        <w:t xml:space="preserve">El error no está en los cálculos. Está en la elección de qué tipo de sistema se asume que es la sociedad.</w:t>
      </w:r>
    </w:p>
    <w:p>
      <w:pPr>
        <w:pStyle w:val="Heading2"/>
        <w:spacing w:after="130" w:before="260"/>
      </w:pPr>
      <w:r>
        <w:rPr>
          <w:rFonts w:ascii="Arial" w:cs="Arial" w:eastAsia="Arial" w:hAnsi="Arial"/>
          <w:b/>
          <w:bCs/>
          <w:color w:val="16213E"/>
          <w:sz w:val="24"/>
          <w:szCs w:val="24"/>
        </w:rPr>
        <w:t xml:space="preserve">10.1 Economía Neoclásica — La Falacia del Equilibrio Estático</w:t>
      </w:r>
    </w:p>
    <w:p>
      <w:pPr>
        <w:spacing w:after="120" w:before="60" w:line="276"/>
        <w:jc w:val="both"/>
      </w:pPr>
      <w:r>
        <w:rPr>
          <w:rFonts w:ascii="Arial" w:cs="Arial" w:eastAsia="Arial" w:hAnsi="Arial"/>
          <w:color w:val="1A1A2E"/>
          <w:sz w:val="21"/>
          <w:szCs w:val="21"/>
        </w:rPr>
        <w:t xml:space="preserve">La economía neoclásica se construye sobre tres supuestos centrales: agentes racionales que maximizan su utilidad, mercados que tienden al equilibrio a través de señales de precios y la independencia de las preferencias respecto a las condiciones sistémicas [20]. El experimento de Gombe [9] demuestra que esto es físicamente falso: el comportamiento del agente es una función directa de la magnitud del gradiente.</w:t>
      </w:r>
    </w:p>
    <w:p>
      <w:pPr>
        <w:pBdr>
          <w:left w:val="single" w:color="1A4A7A" w:sz="6" w:space="8"/>
        </w:pBdr>
        <w:spacing w:after="160" w:before="160"/>
        <w:ind w:left="480" w:right="480"/>
        <w:jc w:val="center"/>
      </w:pPr>
      <w:r>
        <w:rPr>
          <w:rFonts w:ascii="Arial" w:cs="Arial" w:eastAsia="Arial" w:hAnsi="Arial"/>
          <w:b/>
          <w:bCs/>
          <w:i/>
          <w:iCs/>
          <w:color w:val="2E4A6E"/>
          <w:sz w:val="21"/>
          <w:szCs w:val="21"/>
        </w:rPr>
        <w:t xml:space="preserve">Veredicto termodinámico: la economía neoclásica modela un gas ideal en un recipiente cerrado. Las sociedades humanas son sistemas disipativos abiertos lejos del equilibrio. El modelo está categóricamente mal aplicado.</w:t>
      </w:r>
    </w:p>
    <w:p>
      <w:pPr>
        <w:pStyle w:val="Heading2"/>
        <w:spacing w:after="130" w:before="260"/>
      </w:pPr>
      <w:r>
        <w:rPr>
          <w:rFonts w:ascii="Arial" w:cs="Arial" w:eastAsia="Arial" w:hAnsi="Arial"/>
          <w:b/>
          <w:bCs/>
          <w:color w:val="16213E"/>
          <w:sz w:val="24"/>
          <w:szCs w:val="24"/>
        </w:rPr>
        <w:t xml:space="preserve">10.2 Economía Keynesiana — La Inyección de Energía Sin Dirección</w:t>
      </w:r>
    </w:p>
    <w:p>
      <w:pPr>
        <w:spacing w:after="120" w:before="60" w:line="276"/>
        <w:jc w:val="both"/>
      </w:pPr>
      <w:r>
        <w:rPr>
          <w:rFonts w:ascii="Arial" w:cs="Arial" w:eastAsia="Arial" w:hAnsi="Arial"/>
          <w:color w:val="1A1A2E"/>
          <w:sz w:val="21"/>
          <w:szCs w:val="21"/>
        </w:rPr>
        <w:t xml:space="preserve">La economía keynesiana identifica correctamente que los sistemas de mercado no se autoestabilizan y que se requiere inyección energética externa para restaurar la actividad [21]. Sin embargo, no distingue entre inyección energética dirigida —inversión que reduce el gradiente o aumenta la viscosidad— e inyección no dirigida —gasto que aumenta la temperatura sin reducir el Re_s.</w:t>
      </w:r>
    </w:p>
    <w:p>
      <w:pPr>
        <w:pBdr>
          <w:left w:val="single" w:color="1A4A7A" w:sz="6" w:space="8"/>
        </w:pBdr>
        <w:spacing w:after="160" w:before="160"/>
        <w:ind w:left="480" w:right="480"/>
        <w:jc w:val="center"/>
      </w:pPr>
      <w:r>
        <w:rPr>
          <w:rFonts w:ascii="Arial" w:cs="Arial" w:eastAsia="Arial" w:hAnsi="Arial"/>
          <w:b/>
          <w:bCs/>
          <w:i/>
          <w:iCs/>
          <w:color w:val="2E4A6E"/>
          <w:sz w:val="21"/>
          <w:szCs w:val="21"/>
        </w:rPr>
        <w:t xml:space="preserve">Veredicto termodinámico: el estímulo debe reducir el Re_s, no simplemente aumentar la energía del sistema.</w:t>
      </w:r>
    </w:p>
    <w:p>
      <w:pPr>
        <w:pStyle w:val="Heading2"/>
        <w:spacing w:after="130" w:before="260"/>
      </w:pPr>
      <w:r>
        <w:rPr>
          <w:rFonts w:ascii="Arial" w:cs="Arial" w:eastAsia="Arial" w:hAnsi="Arial"/>
          <w:b/>
          <w:bCs/>
          <w:color w:val="16213E"/>
          <w:sz w:val="24"/>
          <w:szCs w:val="24"/>
        </w:rPr>
        <w:t xml:space="preserve">10.3 Neoliberalismo — La Amplificación Deliberada del Gradiente</w:t>
      </w:r>
    </w:p>
    <w:p>
      <w:pPr>
        <w:spacing w:after="120" w:before="60" w:line="276"/>
        <w:jc w:val="both"/>
      </w:pPr>
      <w:r>
        <w:rPr>
          <w:rFonts w:ascii="Arial" w:cs="Arial" w:eastAsia="Arial" w:hAnsi="Arial"/>
          <w:color w:val="1A1A2E"/>
          <w:sz w:val="21"/>
          <w:szCs w:val="21"/>
        </w:rPr>
        <w:t xml:space="preserve">El neoliberalismo propone eliminar la fricción institucional —desregulación, privatización, reducción de la redistribución— lo que desde una perspectiva termodinámica equivale a aumentar simultáneamente la magnitud del gradiente y disminuir la viscosidad institucional: maximizar deliberadamente el Número de Reynolds Social [22].</w:t>
      </w:r>
    </w:p>
    <w:p>
      <w:pPr>
        <w:pBdr>
          <w:left w:val="single" w:color="1A4A7A" w:sz="6" w:space="8"/>
        </w:pBdr>
        <w:spacing w:after="160" w:before="160"/>
        <w:ind w:left="480" w:right="480"/>
        <w:jc w:val="center"/>
      </w:pPr>
      <w:r>
        <w:rPr>
          <w:rFonts w:ascii="Arial" w:cs="Arial" w:eastAsia="Arial" w:hAnsi="Arial"/>
          <w:b/>
          <w:bCs/>
          <w:i/>
          <w:iCs/>
          <w:color w:val="2E4A6E"/>
          <w:sz w:val="21"/>
          <w:szCs w:val="21"/>
        </w:rPr>
        <w:t xml:space="preserve">Veredicto termodinámico: el neoliberalismo es un programa deliberado de maximización del Re_s. Sus resultados son exactamente lo que la dinámica de fluidos predice: turbulencia, inestabilidad y disipación energética sin trabajo productivo.</w:t>
      </w:r>
    </w:p>
    <w:p>
      <w:pPr>
        <w:pStyle w:val="Heading2"/>
        <w:spacing w:after="130" w:before="260"/>
      </w:pPr>
      <w:r>
        <w:rPr>
          <w:rFonts w:ascii="Arial" w:cs="Arial" w:eastAsia="Arial" w:hAnsi="Arial"/>
          <w:b/>
          <w:bCs/>
          <w:color w:val="16213E"/>
          <w:sz w:val="24"/>
          <w:szCs w:val="24"/>
        </w:rPr>
        <w:t xml:space="preserve">10.4 Marxismo — La Propuesta de Transición de Fase Violenta</w:t>
      </w:r>
    </w:p>
    <w:p>
      <w:pPr>
        <w:spacing w:after="120" w:before="60" w:line="276"/>
        <w:jc w:val="both"/>
      </w:pPr>
      <w:r>
        <w:rPr>
          <w:rFonts w:ascii="Arial" w:cs="Arial" w:eastAsia="Arial" w:hAnsi="Arial"/>
          <w:color w:val="1A1A2E"/>
          <w:sz w:val="21"/>
          <w:szCs w:val="21"/>
        </w:rPr>
        <w:t xml:space="preserve">La teoría marxista identifica correctamente la magnitud del gradiente como el motor primario de la turbulencia social [24]. Sin embargo, la solución propuesta —el derrocamiento revolucionario— es una propuesta de transición de fase deliberada mediante inyección máxima de energía. Las transiciones de fase forzadas rápidas en sistemas disipativos complejos no producen el estado objetivo directamente: producen un estado intermedio de alta entropía desde el cual una nueva estructura debe auto-organizarse sin control direccional.</w:t>
      </w:r>
    </w:p>
    <w:p>
      <w:pPr>
        <w:pBdr>
          <w:left w:val="single" w:color="1A4A7A" w:sz="6" w:space="8"/>
        </w:pBdr>
        <w:spacing w:after="160" w:before="160"/>
        <w:ind w:left="480" w:right="480"/>
        <w:jc w:val="center"/>
      </w:pPr>
      <w:r>
        <w:rPr>
          <w:rFonts w:ascii="Arial" w:cs="Arial" w:eastAsia="Arial" w:hAnsi="Arial"/>
          <w:b/>
          <w:bCs/>
          <w:i/>
          <w:iCs/>
          <w:color w:val="2E4A6E"/>
          <w:sz w:val="21"/>
          <w:szCs w:val="21"/>
        </w:rPr>
        <w:t xml:space="preserve">Veredicto termodinámico: diagnóstico correcto del gradiente como variable primaria. Solución termodinámicamente errónea.</w:t>
      </w:r>
    </w:p>
    <w:p>
      <w:pPr>
        <w:pStyle w:val="Heading2"/>
        <w:spacing w:after="130" w:before="260"/>
      </w:pPr>
      <w:r>
        <w:rPr>
          <w:rFonts w:ascii="Arial" w:cs="Arial" w:eastAsia="Arial" w:hAnsi="Arial"/>
          <w:b/>
          <w:bCs/>
          <w:color w:val="16213E"/>
          <w:sz w:val="24"/>
          <w:szCs w:val="24"/>
        </w:rPr>
        <w:t xml:space="preserve">10.5 Populismo — La Estrategia de Disipación Dispersa</w:t>
      </w:r>
    </w:p>
    <w:p>
      <w:pPr>
        <w:spacing w:after="120" w:before="60" w:line="276"/>
        <w:jc w:val="both"/>
      </w:pPr>
      <w:r>
        <w:rPr>
          <w:rFonts w:ascii="Arial" w:cs="Arial" w:eastAsia="Arial" w:hAnsi="Arial"/>
          <w:color w:val="1A1A2E"/>
          <w:sz w:val="21"/>
          <w:szCs w:val="21"/>
        </w:rPr>
        <w:t xml:space="preserve">La economía política populista opera inyectando energía ampliamente en las zonas de baja presión —subsidios, transferencias directas— sin abordar la magnitud del gradiente en su origen ni aumentar la viscosidad institucional [26]. Produce alivio medible a corto plazo pero requiere aportes energéticos crecientes para mantener el mismo nivel de alivio, produciendo la trayectoria fiscal populista característica: gasto creciente, retorno productivo decreciente, agotamiento energético terminal.</w:t>
      </w:r>
    </w:p>
    <w:p>
      <w:pPr>
        <w:pBdr>
          <w:left w:val="single" w:color="1A4A7A" w:sz="6" w:space="8"/>
        </w:pBdr>
        <w:spacing w:after="160" w:before="160"/>
        <w:ind w:left="480" w:right="480"/>
        <w:jc w:val="center"/>
      </w:pPr>
      <w:r>
        <w:rPr>
          <w:rFonts w:ascii="Arial" w:cs="Arial" w:eastAsia="Arial" w:hAnsi="Arial"/>
          <w:b/>
          <w:bCs/>
          <w:i/>
          <w:iCs/>
          <w:color w:val="2E4A6E"/>
          <w:sz w:val="21"/>
          <w:szCs w:val="21"/>
        </w:rPr>
        <w:t xml:space="preserve">Veredicto termodinámico: el populismo es una válvula de alivio de presión, no un mecanismo de estabilización.</w:t>
      </w:r>
    </w:p>
    <w:p>
      <w:pPr>
        <w:pStyle w:val="Heading2"/>
        <w:spacing w:after="130" w:before="260"/>
      </w:pPr>
      <w:r>
        <w:rPr>
          <w:rFonts w:ascii="Arial" w:cs="Arial" w:eastAsia="Arial" w:hAnsi="Arial"/>
          <w:b/>
          <w:bCs/>
          <w:color w:val="16213E"/>
          <w:sz w:val="24"/>
          <w:szCs w:val="24"/>
        </w:rPr>
        <w:t xml:space="preserve">10.6 El Modo Común de Fracaso</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160"/>
        <w:gridCol w:w="3600"/>
      </w:tblGrid>
      <w:tr>
        <w:trPr>
          <w:tblHeader/>
        </w:trPr>
        <w:tc>
          <w:tcPr>
            <w:tcW w:type="dxa" w:w="1800"/>
            <w:tcBorders>
              <w:top w:val="single" w:color="AACCDD" w:sz="1"/>
              <w:left w:val="single" w:color="AACCDD" w:sz="1"/>
              <w:bottom w:val="single" w:color="AACCDD" w:sz="1"/>
              <w:right w:val="single" w:color="AACCDD" w:sz="1"/>
            </w:tcBorders>
            <w:shd w:fill="1A4A7A" w:val="clear"/>
            <w:tcMar>
              <w:top w:type="dxa" w:w="80"/>
              <w:left w:type="dxa" w:w="120"/>
              <w:bottom w:type="dxa" w:w="80"/>
              <w:right w:type="dxa" w:w="120"/>
            </w:tcMar>
          </w:tcPr>
          <w:p>
            <w:r>
              <w:rPr>
                <w:rFonts w:ascii="Arial" w:cs="Arial" w:eastAsia="Arial" w:hAnsi="Arial"/>
                <w:b/>
                <w:bCs/>
                <w:color w:val="FFFFFF"/>
                <w:sz w:val="19"/>
                <w:szCs w:val="19"/>
              </w:rPr>
              <w:t xml:space="preserve">Escuela</w:t>
            </w:r>
          </w:p>
        </w:tc>
        <w:tc>
          <w:tcPr>
            <w:tcW w:type="dxa" w:w="1800"/>
            <w:tcBorders>
              <w:top w:val="single" w:color="AACCDD" w:sz="1"/>
              <w:left w:val="single" w:color="AACCDD" w:sz="1"/>
              <w:bottom w:val="single" w:color="AACCDD" w:sz="1"/>
              <w:right w:val="single" w:color="AACCDD" w:sz="1"/>
            </w:tcBorders>
            <w:shd w:fill="1A4A7A" w:val="clear"/>
            <w:tcMar>
              <w:top w:type="dxa" w:w="80"/>
              <w:left w:type="dxa" w:w="120"/>
              <w:bottom w:type="dxa" w:w="80"/>
              <w:right w:type="dxa" w:w="120"/>
            </w:tcMar>
          </w:tcPr>
          <w:p>
            <w:r>
              <w:rPr>
                <w:rFonts w:ascii="Arial" w:cs="Arial" w:eastAsia="Arial" w:hAnsi="Arial"/>
                <w:b/>
                <w:bCs/>
                <w:color w:val="FFFFFF"/>
                <w:sz w:val="19"/>
                <w:szCs w:val="19"/>
              </w:rPr>
              <w:t xml:space="preserve">Diagnóstico</w:t>
            </w:r>
          </w:p>
        </w:tc>
        <w:tc>
          <w:tcPr>
            <w:tcW w:type="dxa" w:w="2160"/>
            <w:tcBorders>
              <w:top w:val="single" w:color="AACCDD" w:sz="1"/>
              <w:left w:val="single" w:color="AACCDD" w:sz="1"/>
              <w:bottom w:val="single" w:color="AACCDD" w:sz="1"/>
              <w:right w:val="single" w:color="AACCDD" w:sz="1"/>
            </w:tcBorders>
            <w:shd w:fill="1A4A7A" w:val="clear"/>
            <w:tcMar>
              <w:top w:type="dxa" w:w="80"/>
              <w:left w:type="dxa" w:w="120"/>
              <w:bottom w:type="dxa" w:w="80"/>
              <w:right w:type="dxa" w:w="120"/>
            </w:tcMar>
          </w:tcPr>
          <w:p>
            <w:r>
              <w:rPr>
                <w:rFonts w:ascii="Arial" w:cs="Arial" w:eastAsia="Arial" w:hAnsi="Arial"/>
                <w:b/>
                <w:bCs/>
                <w:color w:val="FFFFFF"/>
                <w:sz w:val="19"/>
                <w:szCs w:val="19"/>
              </w:rPr>
              <w:t xml:space="preserve">Intervención</w:t>
            </w:r>
          </w:p>
        </w:tc>
        <w:tc>
          <w:tcPr>
            <w:tcW w:type="dxa" w:w="3600"/>
            <w:tcBorders>
              <w:top w:val="single" w:color="AACCDD" w:sz="1"/>
              <w:left w:val="single" w:color="AACCDD" w:sz="1"/>
              <w:bottom w:val="single" w:color="AACCDD" w:sz="1"/>
              <w:right w:val="single" w:color="AACCDD" w:sz="1"/>
            </w:tcBorders>
            <w:shd w:fill="1A4A7A" w:val="clear"/>
            <w:tcMar>
              <w:top w:type="dxa" w:w="80"/>
              <w:left w:type="dxa" w:w="120"/>
              <w:bottom w:type="dxa" w:w="80"/>
              <w:right w:type="dxa" w:w="120"/>
            </w:tcMar>
          </w:tcPr>
          <w:p>
            <w:r>
              <w:rPr>
                <w:rFonts w:ascii="Arial" w:cs="Arial" w:eastAsia="Arial" w:hAnsi="Arial"/>
                <w:b/>
                <w:bCs/>
                <w:color w:val="FFFFFF"/>
                <w:sz w:val="19"/>
                <w:szCs w:val="19"/>
              </w:rPr>
              <w:t xml:space="preserve">Fallo termodinámico</w:t>
            </w:r>
          </w:p>
        </w:tc>
      </w:tr>
      <w:tr>
        <w:tc>
          <w:tcPr>
            <w:tcW w:type="dxa" w:w="1800"/>
            <w:tcBorders>
              <w:top w:val="single" w:color="AACCDD" w:sz="1"/>
              <w:left w:val="single" w:color="AACCDD" w:sz="1"/>
              <w:bottom w:val="single" w:color="AACCDD" w:sz="1"/>
              <w:right w:val="single" w:color="AACCDD" w:sz="1"/>
            </w:tcBorders>
            <w:shd w:fill="E8F4FD" w:val="clear"/>
            <w:tcMar>
              <w:top w:type="dxa" w:w="80"/>
              <w:left w:type="dxa" w:w="120"/>
              <w:bottom w:type="dxa" w:w="80"/>
              <w:right w:type="dxa" w:w="120"/>
            </w:tcMar>
          </w:tcPr>
          <w:p>
            <w:r>
              <w:rPr>
                <w:rFonts w:ascii="Arial" w:cs="Arial" w:eastAsia="Arial" w:hAnsi="Arial"/>
                <w:color w:val="1A1A2E"/>
                <w:sz w:val="19"/>
                <w:szCs w:val="19"/>
              </w:rPr>
              <w:t xml:space="preserve">Neoclásica</w:t>
            </w:r>
          </w:p>
        </w:tc>
        <w:tc>
          <w:tcPr>
            <w:tcW w:type="dxa" w:w="1800"/>
            <w:tcBorders>
              <w:top w:val="single" w:color="AACCDD" w:sz="1"/>
              <w:left w:val="single" w:color="AACCDD" w:sz="1"/>
              <w:bottom w:val="single" w:color="AACCDD" w:sz="1"/>
              <w:right w:val="single" w:color="AACCDD" w:sz="1"/>
            </w:tcBorders>
            <w:shd w:fill="E8F4FD" w:val="clear"/>
            <w:tcMar>
              <w:top w:type="dxa" w:w="80"/>
              <w:left w:type="dxa" w:w="120"/>
              <w:bottom w:type="dxa" w:w="80"/>
              <w:right w:type="dxa" w:w="120"/>
            </w:tcMar>
          </w:tcPr>
          <w:p>
            <w:r>
              <w:rPr>
                <w:rFonts w:ascii="Arial" w:cs="Arial" w:eastAsia="Arial" w:hAnsi="Arial"/>
                <w:color w:val="1A1A2E"/>
                <w:sz w:val="19"/>
                <w:szCs w:val="19"/>
              </w:rPr>
              <w:t xml:space="preserve">Ningún problema</w:t>
            </w:r>
          </w:p>
        </w:tc>
        <w:tc>
          <w:tcPr>
            <w:tcW w:type="dxa" w:w="2160"/>
            <w:tcBorders>
              <w:top w:val="single" w:color="AACCDD" w:sz="1"/>
              <w:left w:val="single" w:color="AACCDD" w:sz="1"/>
              <w:bottom w:val="single" w:color="AACCDD" w:sz="1"/>
              <w:right w:val="single" w:color="AACCDD" w:sz="1"/>
            </w:tcBorders>
            <w:shd w:fill="E8F4FD" w:val="clear"/>
            <w:tcMar>
              <w:top w:type="dxa" w:w="80"/>
              <w:left w:type="dxa" w:w="120"/>
              <w:bottom w:type="dxa" w:w="80"/>
              <w:right w:type="dxa" w:w="120"/>
            </w:tcMar>
          </w:tcPr>
          <w:p>
            <w:r>
              <w:rPr>
                <w:rFonts w:ascii="Arial" w:cs="Arial" w:eastAsia="Arial" w:hAnsi="Arial"/>
                <w:color w:val="1A1A2E"/>
                <w:sz w:val="19"/>
                <w:szCs w:val="19"/>
              </w:rPr>
              <w:t xml:space="preserve">Ninguna</w:t>
            </w:r>
          </w:p>
        </w:tc>
        <w:tc>
          <w:tcPr>
            <w:tcW w:type="dxa" w:w="3600"/>
            <w:tcBorders>
              <w:top w:val="single" w:color="AACCDD" w:sz="1"/>
              <w:left w:val="single" w:color="AACCDD" w:sz="1"/>
              <w:bottom w:val="single" w:color="AACCDD" w:sz="1"/>
              <w:right w:val="single" w:color="AACCDD" w:sz="1"/>
            </w:tcBorders>
            <w:shd w:fill="E8F4FD" w:val="clear"/>
            <w:tcMar>
              <w:top w:type="dxa" w:w="80"/>
              <w:left w:type="dxa" w:w="120"/>
              <w:bottom w:type="dxa" w:w="80"/>
              <w:right w:type="dxa" w:w="120"/>
            </w:tcMar>
          </w:tcPr>
          <w:p>
            <w:r>
              <w:rPr>
                <w:rFonts w:ascii="Arial" w:cs="Arial" w:eastAsia="Arial" w:hAnsi="Arial"/>
                <w:color w:val="1A1A2E"/>
                <w:sz w:val="19"/>
                <w:szCs w:val="19"/>
              </w:rPr>
              <w:t xml:space="preserve">Niega la naturaleza disipativa</w:t>
            </w:r>
          </w:p>
        </w:tc>
      </w:tr>
      <w:tr>
        <w:tc>
          <w:tcPr>
            <w:tcW w:type="dxa" w:w="180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Keynesiana</w:t>
            </w:r>
          </w:p>
        </w:tc>
        <w:tc>
          <w:tcPr>
            <w:tcW w:type="dxa" w:w="180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Colapso de demanda</w:t>
            </w:r>
          </w:p>
        </w:tc>
        <w:tc>
          <w:tcPr>
            <w:tcW w:type="dxa" w:w="216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Inyección de energía</w:t>
            </w:r>
          </w:p>
        </w:tc>
        <w:tc>
          <w:tcPr>
            <w:tcW w:type="dxa" w:w="360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No dirigida: aumenta temperatura, no reduce Re_s</w:t>
            </w:r>
          </w:p>
        </w:tc>
      </w:tr>
      <w:tr>
        <w:tc>
          <w:tcPr>
            <w:tcW w:type="dxa" w:w="1800"/>
            <w:tcBorders>
              <w:top w:val="single" w:color="AACCDD" w:sz="1"/>
              <w:left w:val="single" w:color="AACCDD" w:sz="1"/>
              <w:bottom w:val="single" w:color="AACCDD" w:sz="1"/>
              <w:right w:val="single" w:color="AACCDD" w:sz="1"/>
            </w:tcBorders>
            <w:shd w:fill="E8F4FD" w:val="clear"/>
            <w:tcMar>
              <w:top w:type="dxa" w:w="80"/>
              <w:left w:type="dxa" w:w="120"/>
              <w:bottom w:type="dxa" w:w="80"/>
              <w:right w:type="dxa" w:w="120"/>
            </w:tcMar>
          </w:tcPr>
          <w:p>
            <w:r>
              <w:rPr>
                <w:rFonts w:ascii="Arial" w:cs="Arial" w:eastAsia="Arial" w:hAnsi="Arial"/>
                <w:color w:val="1A1A2E"/>
                <w:sz w:val="19"/>
                <w:szCs w:val="19"/>
              </w:rPr>
              <w:t xml:space="preserve">Neoliberalismo</w:t>
            </w:r>
          </w:p>
        </w:tc>
        <w:tc>
          <w:tcPr>
            <w:tcW w:type="dxa" w:w="1800"/>
            <w:tcBorders>
              <w:top w:val="single" w:color="AACCDD" w:sz="1"/>
              <w:left w:val="single" w:color="AACCDD" w:sz="1"/>
              <w:bottom w:val="single" w:color="AACCDD" w:sz="1"/>
              <w:right w:val="single" w:color="AACCDD" w:sz="1"/>
            </w:tcBorders>
            <w:shd w:fill="E8F4FD" w:val="clear"/>
            <w:tcMar>
              <w:top w:type="dxa" w:w="80"/>
              <w:left w:type="dxa" w:w="120"/>
              <w:bottom w:type="dxa" w:w="80"/>
              <w:right w:type="dxa" w:w="120"/>
            </w:tcMar>
          </w:tcPr>
          <w:p>
            <w:r>
              <w:rPr>
                <w:rFonts w:ascii="Arial" w:cs="Arial" w:eastAsia="Arial" w:hAnsi="Arial"/>
                <w:color w:val="1A1A2E"/>
                <w:sz w:val="19"/>
                <w:szCs w:val="19"/>
              </w:rPr>
              <w:t xml:space="preserve">Exceso de fricción</w:t>
            </w:r>
          </w:p>
        </w:tc>
        <w:tc>
          <w:tcPr>
            <w:tcW w:type="dxa" w:w="2160"/>
            <w:tcBorders>
              <w:top w:val="single" w:color="AACCDD" w:sz="1"/>
              <w:left w:val="single" w:color="AACCDD" w:sz="1"/>
              <w:bottom w:val="single" w:color="AACCDD" w:sz="1"/>
              <w:right w:val="single" w:color="AACCDD" w:sz="1"/>
            </w:tcBorders>
            <w:shd w:fill="E8F4FD" w:val="clear"/>
            <w:tcMar>
              <w:top w:type="dxa" w:w="80"/>
              <w:left w:type="dxa" w:w="120"/>
              <w:bottom w:type="dxa" w:w="80"/>
              <w:right w:type="dxa" w:w="120"/>
            </w:tcMar>
          </w:tcPr>
          <w:p>
            <w:r>
              <w:rPr>
                <w:rFonts w:ascii="Arial" w:cs="Arial" w:eastAsia="Arial" w:hAnsi="Arial"/>
                <w:color w:val="1A1A2E"/>
                <w:sz w:val="19"/>
                <w:szCs w:val="19"/>
              </w:rPr>
              <w:t xml:space="preserve">Eliminar viscosidad</w:t>
            </w:r>
          </w:p>
        </w:tc>
        <w:tc>
          <w:tcPr>
            <w:tcW w:type="dxa" w:w="3600"/>
            <w:tcBorders>
              <w:top w:val="single" w:color="AACCDD" w:sz="1"/>
              <w:left w:val="single" w:color="AACCDD" w:sz="1"/>
              <w:bottom w:val="single" w:color="AACCDD" w:sz="1"/>
              <w:right w:val="single" w:color="AACCDD" w:sz="1"/>
            </w:tcBorders>
            <w:shd w:fill="E8F4FD" w:val="clear"/>
            <w:tcMar>
              <w:top w:type="dxa" w:w="80"/>
              <w:left w:type="dxa" w:w="120"/>
              <w:bottom w:type="dxa" w:w="80"/>
              <w:right w:type="dxa" w:w="120"/>
            </w:tcMar>
          </w:tcPr>
          <w:p>
            <w:r>
              <w:rPr>
                <w:rFonts w:ascii="Arial" w:cs="Arial" w:eastAsia="Arial" w:hAnsi="Arial"/>
                <w:color w:val="1A1A2E"/>
                <w:sz w:val="19"/>
                <w:szCs w:val="19"/>
              </w:rPr>
              <w:t xml:space="preserve">Maximiza Re_s deliberadamente</w:t>
            </w:r>
          </w:p>
        </w:tc>
      </w:tr>
      <w:tr>
        <w:tc>
          <w:tcPr>
            <w:tcW w:type="dxa" w:w="180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Marxismo</w:t>
            </w:r>
          </w:p>
        </w:tc>
        <w:tc>
          <w:tcPr>
            <w:tcW w:type="dxa" w:w="180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Exceso de gradiente</w:t>
            </w:r>
          </w:p>
        </w:tc>
        <w:tc>
          <w:tcPr>
            <w:tcW w:type="dxa" w:w="216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Forzar transición de fase</w:t>
            </w:r>
          </w:p>
        </w:tc>
        <w:tc>
          <w:tcPr>
            <w:tcW w:type="dxa" w:w="360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Reorganización no controlada</w:t>
            </w:r>
          </w:p>
        </w:tc>
      </w:tr>
      <w:tr>
        <w:tc>
          <w:tcPr>
            <w:tcW w:type="dxa" w:w="1800"/>
            <w:tcBorders>
              <w:top w:val="single" w:color="AACCDD" w:sz="1"/>
              <w:left w:val="single" w:color="AACCDD" w:sz="1"/>
              <w:bottom w:val="single" w:color="AACCDD" w:sz="1"/>
              <w:right w:val="single" w:color="AACCDD" w:sz="1"/>
            </w:tcBorders>
            <w:shd w:fill="E8F4FD" w:val="clear"/>
            <w:tcMar>
              <w:top w:type="dxa" w:w="80"/>
              <w:left w:type="dxa" w:w="120"/>
              <w:bottom w:type="dxa" w:w="80"/>
              <w:right w:type="dxa" w:w="120"/>
            </w:tcMar>
          </w:tcPr>
          <w:p>
            <w:r>
              <w:rPr>
                <w:rFonts w:ascii="Arial" w:cs="Arial" w:eastAsia="Arial" w:hAnsi="Arial"/>
                <w:color w:val="1A1A2E"/>
                <w:sz w:val="19"/>
                <w:szCs w:val="19"/>
              </w:rPr>
              <w:t xml:space="preserve">Populismo</w:t>
            </w:r>
          </w:p>
        </w:tc>
        <w:tc>
          <w:tcPr>
            <w:tcW w:type="dxa" w:w="1800"/>
            <w:tcBorders>
              <w:top w:val="single" w:color="AACCDD" w:sz="1"/>
              <w:left w:val="single" w:color="AACCDD" w:sz="1"/>
              <w:bottom w:val="single" w:color="AACCDD" w:sz="1"/>
              <w:right w:val="single" w:color="AACCDD" w:sz="1"/>
            </w:tcBorders>
            <w:shd w:fill="E8F4FD" w:val="clear"/>
            <w:tcMar>
              <w:top w:type="dxa" w:w="80"/>
              <w:left w:type="dxa" w:w="120"/>
              <w:bottom w:type="dxa" w:w="80"/>
              <w:right w:type="dxa" w:w="120"/>
            </w:tcMar>
          </w:tcPr>
          <w:p>
            <w:r>
              <w:rPr>
                <w:rFonts w:ascii="Arial" w:cs="Arial" w:eastAsia="Arial" w:hAnsi="Arial"/>
                <w:color w:val="1A1A2E"/>
                <w:sz w:val="19"/>
                <w:szCs w:val="19"/>
              </w:rPr>
              <w:t xml:space="preserve">Exceso de presión</w:t>
            </w:r>
          </w:p>
        </w:tc>
        <w:tc>
          <w:tcPr>
            <w:tcW w:type="dxa" w:w="2160"/>
            <w:tcBorders>
              <w:top w:val="single" w:color="AACCDD" w:sz="1"/>
              <w:left w:val="single" w:color="AACCDD" w:sz="1"/>
              <w:bottom w:val="single" w:color="AACCDD" w:sz="1"/>
              <w:right w:val="single" w:color="AACCDD" w:sz="1"/>
            </w:tcBorders>
            <w:shd w:fill="E8F4FD" w:val="clear"/>
            <w:tcMar>
              <w:top w:type="dxa" w:w="80"/>
              <w:left w:type="dxa" w:w="120"/>
              <w:bottom w:type="dxa" w:w="80"/>
              <w:right w:type="dxa" w:w="120"/>
            </w:tcMar>
          </w:tcPr>
          <w:p>
            <w:r>
              <w:rPr>
                <w:rFonts w:ascii="Arial" w:cs="Arial" w:eastAsia="Arial" w:hAnsi="Arial"/>
                <w:color w:val="1A1A2E"/>
                <w:sz w:val="19"/>
                <w:szCs w:val="19"/>
              </w:rPr>
              <w:t xml:space="preserve">Dispersar energía</w:t>
            </w:r>
          </w:p>
        </w:tc>
        <w:tc>
          <w:tcPr>
            <w:tcW w:type="dxa" w:w="3600"/>
            <w:tcBorders>
              <w:top w:val="single" w:color="AACCDD" w:sz="1"/>
              <w:left w:val="single" w:color="AACCDD" w:sz="1"/>
              <w:bottom w:val="single" w:color="AACCDD" w:sz="1"/>
              <w:right w:val="single" w:color="AACCDD" w:sz="1"/>
            </w:tcBorders>
            <w:shd w:fill="E8F4FD" w:val="clear"/>
            <w:tcMar>
              <w:top w:type="dxa" w:w="80"/>
              <w:left w:type="dxa" w:w="120"/>
              <w:bottom w:type="dxa" w:w="80"/>
              <w:right w:type="dxa" w:w="120"/>
            </w:tcMar>
          </w:tcPr>
          <w:p>
            <w:r>
              <w:rPr>
                <w:rFonts w:ascii="Arial" w:cs="Arial" w:eastAsia="Arial" w:hAnsi="Arial"/>
                <w:color w:val="1A1A2E"/>
                <w:sz w:val="19"/>
                <w:szCs w:val="19"/>
              </w:rPr>
              <w:t xml:space="preserve">Alivia síntomas, no causas</w:t>
            </w:r>
          </w:p>
        </w:tc>
      </w:tr>
    </w:tbl>
    <w:p>
      <w:pPr>
        <w:spacing w:after="80"/>
      </w:pPr>
    </w:p>
    <w:p>
      <w:pPr>
        <w:pBdr>
          <w:left w:val="single" w:color="1A4A7A" w:sz="6" w:space="8"/>
        </w:pBdr>
        <w:spacing w:after="160" w:before="160"/>
        <w:ind w:left="480" w:right="480"/>
        <w:jc w:val="center"/>
      </w:pPr>
      <w:r>
        <w:rPr>
          <w:rFonts w:ascii="Arial" w:cs="Arial" w:eastAsia="Arial" w:hAnsi="Arial"/>
          <w:b/>
          <w:bCs/>
          <w:i/>
          <w:iCs/>
          <w:color w:val="2E4A6E"/>
          <w:sz w:val="21"/>
          <w:szCs w:val="21"/>
        </w:rPr>
        <w:t xml:space="preserve">La pregunta termodinámica correcta: ¿Cuáles son las condiciones de magnitud del gradiente y viscosidad institucional requeridas para que este sistema opere en régimen laminar? ¿Y cuál es la intervención mínima necesaria para alcanzar y sostener esas condiciones?</w:t>
      </w:r>
    </w:p>
    <w:p>
      <w:r>
        <w:br w:type="page"/>
      </w:r>
    </w:p>
    <w:p>
      <w:pPr>
        <w:pStyle w:val="Heading1"/>
        <w:spacing w:after="180" w:before="400"/>
      </w:pPr>
      <w:r>
        <w:rPr>
          <w:rFonts w:ascii="Arial" w:cs="Arial" w:eastAsia="Arial" w:hAnsi="Arial"/>
          <w:b/>
          <w:bCs/>
          <w:color w:val="1A1A2E"/>
          <w:sz w:val="30"/>
          <w:szCs w:val="30"/>
        </w:rPr>
        <w:t xml:space="preserve">Referencias</w:t>
      </w:r>
    </w:p>
    <w:p>
      <w:pPr>
        <w:pStyle w:val="Heading2"/>
        <w:spacing w:after="130" w:before="260"/>
      </w:pPr>
      <w:r>
        <w:rPr>
          <w:rFonts w:ascii="Arial" w:cs="Arial" w:eastAsia="Arial" w:hAnsi="Arial"/>
          <w:b/>
          <w:bCs/>
          <w:color w:val="16213E"/>
          <w:sz w:val="24"/>
          <w:szCs w:val="24"/>
        </w:rPr>
        <w:t xml:space="preserve">Sección A — Fundamentos Termodinámicos y Físicos</w:t>
      </w:r>
    </w:p>
    <w:p>
      <w:pPr>
        <w:spacing w:after="80" w:before="0"/>
        <w:ind w:left="360" w:hanging="360"/>
      </w:pPr>
      <w:r>
        <w:rPr>
          <w:rFonts w:ascii="Arial" w:cs="Arial" w:eastAsia="Arial" w:hAnsi="Arial"/>
          <w:b/>
          <w:bCs/>
          <w:color w:val="1A4A7A"/>
          <w:sz w:val="19"/>
          <w:szCs w:val="19"/>
        </w:rPr>
        <w:t xml:space="preserve">[1] </w:t>
      </w:r>
      <w:r>
        <w:rPr>
          <w:rFonts w:ascii="Arial" w:cs="Arial" w:eastAsia="Arial" w:hAnsi="Arial"/>
          <w:color w:val="1A1A2E"/>
          <w:sz w:val="19"/>
          <w:szCs w:val="19"/>
        </w:rPr>
        <w:t xml:space="preserve">Prigogine, I. &amp; Stengers, I. (1984). Order Out of Chaos: Man's New Dialogue with Nature. Bantam Books, Nueva York.</w:t>
      </w:r>
    </w:p>
    <w:p>
      <w:pPr>
        <w:spacing w:after="80" w:before="0"/>
        <w:ind w:left="360" w:hanging="360"/>
      </w:pPr>
      <w:r>
        <w:rPr>
          <w:rFonts w:ascii="Arial" w:cs="Arial" w:eastAsia="Arial" w:hAnsi="Arial"/>
          <w:b/>
          <w:bCs/>
          <w:color w:val="1A4A7A"/>
          <w:sz w:val="19"/>
          <w:szCs w:val="19"/>
        </w:rPr>
        <w:t xml:space="preserve">[2] </w:t>
      </w:r>
      <w:r>
        <w:rPr>
          <w:rFonts w:ascii="Arial" w:cs="Arial" w:eastAsia="Arial" w:hAnsi="Arial"/>
          <w:color w:val="1A1A2E"/>
          <w:sz w:val="19"/>
          <w:szCs w:val="19"/>
        </w:rPr>
        <w:t xml:space="preserve">Prigogine, I. (1977). Time, Structure and Fluctuations. Conferencia Nobel, 8 de diciembre de 1977. Comité Nobel de Química, Estocolmo.</w:t>
      </w:r>
    </w:p>
    <w:p>
      <w:pPr>
        <w:spacing w:after="80" w:before="0"/>
        <w:ind w:left="360" w:hanging="360"/>
      </w:pPr>
      <w:r>
        <w:rPr>
          <w:rFonts w:ascii="Arial" w:cs="Arial" w:eastAsia="Arial" w:hAnsi="Arial"/>
          <w:b/>
          <w:bCs/>
          <w:color w:val="1A4A7A"/>
          <w:sz w:val="19"/>
          <w:szCs w:val="19"/>
        </w:rPr>
        <w:t xml:space="preserve">[3] </w:t>
      </w:r>
      <w:r>
        <w:rPr>
          <w:rFonts w:ascii="Arial" w:cs="Arial" w:eastAsia="Arial" w:hAnsi="Arial"/>
          <w:color w:val="1A1A2E"/>
          <w:sz w:val="19"/>
          <w:szCs w:val="19"/>
        </w:rPr>
        <w:t xml:space="preserve">Reynolds, O. (1883). An experimental investigation of the circumstances which determine whether the motion of water shall be direct or sinuous. Philosophical Transactions of the Royal Society, 174, 935–982.</w:t>
      </w:r>
    </w:p>
    <w:p>
      <w:pPr>
        <w:spacing w:after="80" w:before="0"/>
        <w:ind w:left="360" w:hanging="360"/>
      </w:pPr>
      <w:r>
        <w:rPr>
          <w:rFonts w:ascii="Arial" w:cs="Arial" w:eastAsia="Arial" w:hAnsi="Arial"/>
          <w:b/>
          <w:bCs/>
          <w:color w:val="1A4A7A"/>
          <w:sz w:val="19"/>
          <w:szCs w:val="19"/>
        </w:rPr>
        <w:t xml:space="preserve">[4] </w:t>
      </w:r>
      <w:r>
        <w:rPr>
          <w:rFonts w:ascii="Arial" w:cs="Arial" w:eastAsia="Arial" w:hAnsi="Arial"/>
          <w:color w:val="1A1A2E"/>
          <w:sz w:val="19"/>
          <w:szCs w:val="19"/>
        </w:rPr>
        <w:t xml:space="preserve">Stanley, H.E. (1971). Introduction to Phase Transitions and Critical Phenomena. Oxford University Press, Oxford.</w:t>
      </w:r>
    </w:p>
    <w:p>
      <w:pPr>
        <w:spacing w:after="80" w:before="0"/>
        <w:ind w:left="360" w:hanging="360"/>
      </w:pPr>
      <w:r>
        <w:rPr>
          <w:rFonts w:ascii="Arial" w:cs="Arial" w:eastAsia="Arial" w:hAnsi="Arial"/>
          <w:b/>
          <w:bCs/>
          <w:color w:val="1A4A7A"/>
          <w:sz w:val="19"/>
          <w:szCs w:val="19"/>
        </w:rPr>
        <w:t xml:space="preserve">[5] </w:t>
      </w:r>
      <w:r>
        <w:rPr>
          <w:rFonts w:ascii="Arial" w:cs="Arial" w:eastAsia="Arial" w:hAnsi="Arial"/>
          <w:color w:val="1A1A2E"/>
          <w:sz w:val="19"/>
          <w:szCs w:val="19"/>
        </w:rPr>
        <w:t xml:space="preserve">Prigogine, I. (1980). From Being to Becoming: Time and Complexity in the Physical Sciences. W.H. Freeman, San Francisco.</w:t>
      </w:r>
    </w:p>
    <w:p>
      <w:pPr>
        <w:spacing w:after="80" w:before="0"/>
        <w:ind w:left="360" w:hanging="360"/>
      </w:pPr>
      <w:r>
        <w:rPr>
          <w:rFonts w:ascii="Arial" w:cs="Arial" w:eastAsia="Arial" w:hAnsi="Arial"/>
          <w:b/>
          <w:bCs/>
          <w:color w:val="1A4A7A"/>
          <w:sz w:val="19"/>
          <w:szCs w:val="19"/>
        </w:rPr>
        <w:t xml:space="preserve">[6] </w:t>
      </w:r>
      <w:r>
        <w:rPr>
          <w:rFonts w:ascii="Arial" w:cs="Arial" w:eastAsia="Arial" w:hAnsi="Arial"/>
          <w:color w:val="1A1A2E"/>
          <w:sz w:val="19"/>
          <w:szCs w:val="19"/>
        </w:rPr>
        <w:t xml:space="preserve">Scheffer, M. (2009). Critical Transitions in Nature and Society. Princeton University Press, Princeton.</w:t>
      </w:r>
    </w:p>
    <w:p>
      <w:pPr>
        <w:spacing w:after="80" w:before="0"/>
        <w:ind w:left="360" w:hanging="360"/>
      </w:pPr>
      <w:r>
        <w:rPr>
          <w:rFonts w:ascii="Arial" w:cs="Arial" w:eastAsia="Arial" w:hAnsi="Arial"/>
          <w:b/>
          <w:bCs/>
          <w:color w:val="1A4A7A"/>
          <w:sz w:val="19"/>
          <w:szCs w:val="19"/>
        </w:rPr>
        <w:t xml:space="preserve">[7] </w:t>
      </w:r>
      <w:r>
        <w:rPr>
          <w:rFonts w:ascii="Arial" w:cs="Arial" w:eastAsia="Arial" w:hAnsi="Arial"/>
          <w:color w:val="1A1A2E"/>
          <w:sz w:val="19"/>
          <w:szCs w:val="19"/>
        </w:rPr>
        <w:t xml:space="preserve">Kondepudi, D. &amp; Prigogine, I. (1998). Modern Thermodynamics: From Heat Engines to Dissipative Structures. John Wiley &amp; Sons, Chichester.</w:t>
      </w:r>
    </w:p>
    <w:p>
      <w:pPr>
        <w:spacing w:after="80" w:before="0"/>
        <w:ind w:left="360" w:hanging="360"/>
      </w:pPr>
      <w:r>
        <w:rPr>
          <w:rFonts w:ascii="Arial" w:cs="Arial" w:eastAsia="Arial" w:hAnsi="Arial"/>
          <w:b/>
          <w:bCs/>
          <w:color w:val="1A4A7A"/>
          <w:sz w:val="19"/>
          <w:szCs w:val="19"/>
        </w:rPr>
        <w:t xml:space="preserve">[8] </w:t>
      </w:r>
      <w:r>
        <w:rPr>
          <w:rFonts w:ascii="Arial" w:cs="Arial" w:eastAsia="Arial" w:hAnsi="Arial"/>
          <w:color w:val="1A1A2E"/>
          <w:sz w:val="19"/>
          <w:szCs w:val="19"/>
        </w:rPr>
        <w:t xml:space="preserve">Kauffman, S. (1995). At Home in the Universe: The Search for Laws of Self-Organization and Complexity. Oxford University Press, Oxford.</w:t>
      </w:r>
    </w:p>
    <w:p>
      <w:pPr>
        <w:pStyle w:val="Heading2"/>
        <w:spacing w:after="130" w:before="260"/>
      </w:pPr>
      <w:r>
        <w:rPr>
          <w:rFonts w:ascii="Arial" w:cs="Arial" w:eastAsia="Arial" w:hAnsi="Arial"/>
          <w:b/>
          <w:bCs/>
          <w:color w:val="16213E"/>
          <w:sz w:val="24"/>
          <w:szCs w:val="24"/>
        </w:rPr>
        <w:t xml:space="preserve">Sección B — Evidencia Biológica y Primatológica</w:t>
      </w:r>
    </w:p>
    <w:p>
      <w:pPr>
        <w:spacing w:after="80" w:before="0"/>
        <w:ind w:left="360" w:hanging="360"/>
      </w:pPr>
      <w:r>
        <w:rPr>
          <w:rFonts w:ascii="Arial" w:cs="Arial" w:eastAsia="Arial" w:hAnsi="Arial"/>
          <w:b/>
          <w:bCs/>
          <w:color w:val="1A4A7A"/>
          <w:sz w:val="19"/>
          <w:szCs w:val="19"/>
        </w:rPr>
        <w:t xml:space="preserve">[9] </w:t>
      </w:r>
      <w:r>
        <w:rPr>
          <w:rFonts w:ascii="Arial" w:cs="Arial" w:eastAsia="Arial" w:hAnsi="Arial"/>
          <w:color w:val="1A1A2E"/>
          <w:sz w:val="19"/>
          <w:szCs w:val="19"/>
        </w:rPr>
        <w:t xml:space="preserve">Goodall, J. (1986). The Chimpanzees of Gombe: Patterns of Behavior. Harvard University Press, Cambridge MA.</w:t>
      </w:r>
    </w:p>
    <w:p>
      <w:pPr>
        <w:spacing w:after="80" w:before="0"/>
        <w:ind w:left="360" w:hanging="360"/>
      </w:pPr>
      <w:r>
        <w:rPr>
          <w:rFonts w:ascii="Arial" w:cs="Arial" w:eastAsia="Arial" w:hAnsi="Arial"/>
          <w:b/>
          <w:bCs/>
          <w:color w:val="1A4A7A"/>
          <w:sz w:val="19"/>
          <w:szCs w:val="19"/>
        </w:rPr>
        <w:t xml:space="preserve">[10] </w:t>
      </w:r>
      <w:r>
        <w:rPr>
          <w:rFonts w:ascii="Arial" w:cs="Arial" w:eastAsia="Arial" w:hAnsi="Arial"/>
          <w:color w:val="1A1A2E"/>
          <w:sz w:val="19"/>
          <w:szCs w:val="19"/>
        </w:rPr>
        <w:t xml:space="preserve">de Waal, F. (1989). Peacemaking Among Primates. Harvard University Press, Cambridge MA.</w:t>
      </w:r>
    </w:p>
    <w:p>
      <w:pPr>
        <w:spacing w:after="80" w:before="0"/>
        <w:ind w:left="360" w:hanging="360"/>
      </w:pPr>
      <w:r>
        <w:rPr>
          <w:rFonts w:ascii="Arial" w:cs="Arial" w:eastAsia="Arial" w:hAnsi="Arial"/>
          <w:b/>
          <w:bCs/>
          <w:color w:val="1A4A7A"/>
          <w:sz w:val="19"/>
          <w:szCs w:val="19"/>
        </w:rPr>
        <w:t xml:space="preserve">[11] </w:t>
      </w:r>
      <w:r>
        <w:rPr>
          <w:rFonts w:ascii="Arial" w:cs="Arial" w:eastAsia="Arial" w:hAnsi="Arial"/>
          <w:color w:val="1A1A2E"/>
          <w:sz w:val="19"/>
          <w:szCs w:val="19"/>
        </w:rPr>
        <w:t xml:space="preserve">de Waal, F. (2009). The Age of Empathy: Nature's Lessons for a Kinder Society. Harmony Books, Nueva York.</w:t>
      </w:r>
    </w:p>
    <w:p>
      <w:pPr>
        <w:spacing w:after="80" w:before="0"/>
        <w:ind w:left="360" w:hanging="360"/>
      </w:pPr>
      <w:r>
        <w:rPr>
          <w:rFonts w:ascii="Arial" w:cs="Arial" w:eastAsia="Arial" w:hAnsi="Arial"/>
          <w:b/>
          <w:bCs/>
          <w:color w:val="1A4A7A"/>
          <w:sz w:val="19"/>
          <w:szCs w:val="19"/>
        </w:rPr>
        <w:t xml:space="preserve">[12] </w:t>
      </w:r>
      <w:r>
        <w:rPr>
          <w:rFonts w:ascii="Arial" w:cs="Arial" w:eastAsia="Arial" w:hAnsi="Arial"/>
          <w:color w:val="1A1A2E"/>
          <w:sz w:val="19"/>
          <w:szCs w:val="19"/>
        </w:rPr>
        <w:t xml:space="preserve">Boehm, C. (1999). Hierarchy in the Forest: The Evolution of Egalitarian Behavior. Harvard University Press, Cambridge MA.</w:t>
      </w:r>
    </w:p>
    <w:p>
      <w:pPr>
        <w:spacing w:after="80" w:before="0"/>
        <w:ind w:left="360" w:hanging="360"/>
      </w:pPr>
      <w:r>
        <w:rPr>
          <w:rFonts w:ascii="Arial" w:cs="Arial" w:eastAsia="Arial" w:hAnsi="Arial"/>
          <w:b/>
          <w:bCs/>
          <w:color w:val="1A4A7A"/>
          <w:sz w:val="19"/>
          <w:szCs w:val="19"/>
        </w:rPr>
        <w:t xml:space="preserve">[13] </w:t>
      </w:r>
      <w:r>
        <w:rPr>
          <w:rFonts w:ascii="Arial" w:cs="Arial" w:eastAsia="Arial" w:hAnsi="Arial"/>
          <w:color w:val="1A1A2E"/>
          <w:sz w:val="19"/>
          <w:szCs w:val="19"/>
        </w:rPr>
        <w:t xml:space="preserve">Sapolsky, R. (2017). Behave: The Biology of Humans at Our Best and Worst. Penguin Press, Nueva York.</w:t>
      </w:r>
    </w:p>
    <w:p>
      <w:pPr>
        <w:spacing w:after="80" w:before="0"/>
        <w:ind w:left="360" w:hanging="360"/>
      </w:pPr>
      <w:r>
        <w:rPr>
          <w:rFonts w:ascii="Arial" w:cs="Arial" w:eastAsia="Arial" w:hAnsi="Arial"/>
          <w:b/>
          <w:bCs/>
          <w:color w:val="1A4A7A"/>
          <w:sz w:val="19"/>
          <w:szCs w:val="19"/>
        </w:rPr>
        <w:t xml:space="preserve">[14] </w:t>
      </w:r>
      <w:r>
        <w:rPr>
          <w:rFonts w:ascii="Arial" w:cs="Arial" w:eastAsia="Arial" w:hAnsi="Arial"/>
          <w:color w:val="1A1A2E"/>
          <w:sz w:val="19"/>
          <w:szCs w:val="19"/>
        </w:rPr>
        <w:t xml:space="preserve">Herrero, H.D. (2026). Helical Polymerization and the Continuous Origin of Life: A Falsifiable Model of the Cosmos Vector Fractal. Preprint Zenodo. DOI: pendiente.</w:t>
      </w:r>
    </w:p>
    <w:p>
      <w:pPr>
        <w:pStyle w:val="Heading2"/>
        <w:spacing w:after="130" w:before="260"/>
      </w:pPr>
      <w:r>
        <w:rPr>
          <w:rFonts w:ascii="Arial" w:cs="Arial" w:eastAsia="Arial" w:hAnsi="Arial"/>
          <w:b/>
          <w:bCs/>
          <w:color w:val="16213E"/>
          <w:sz w:val="24"/>
          <w:szCs w:val="24"/>
        </w:rPr>
        <w:t xml:space="preserve">Sección C — Evidencia Económica y de Desigualdad</w:t>
      </w:r>
    </w:p>
    <w:p>
      <w:pPr>
        <w:spacing w:after="80" w:before="0"/>
        <w:ind w:left="360" w:hanging="360"/>
      </w:pPr>
      <w:r>
        <w:rPr>
          <w:rFonts w:ascii="Arial" w:cs="Arial" w:eastAsia="Arial" w:hAnsi="Arial"/>
          <w:b/>
          <w:bCs/>
          <w:color w:val="1A4A7A"/>
          <w:sz w:val="19"/>
          <w:szCs w:val="19"/>
        </w:rPr>
        <w:t xml:space="preserve">[15] </w:t>
      </w:r>
      <w:r>
        <w:rPr>
          <w:rFonts w:ascii="Arial" w:cs="Arial" w:eastAsia="Arial" w:hAnsi="Arial"/>
          <w:color w:val="1A1A2E"/>
          <w:sz w:val="19"/>
          <w:szCs w:val="19"/>
        </w:rPr>
        <w:t xml:space="preserve">Piketty, T. (2013). Capital in the Twenty-First Century. Harvard University Press, Cambridge MA.</w:t>
      </w:r>
    </w:p>
    <w:p>
      <w:pPr>
        <w:spacing w:after="80" w:before="0"/>
        <w:ind w:left="360" w:hanging="360"/>
      </w:pPr>
      <w:r>
        <w:rPr>
          <w:rFonts w:ascii="Arial" w:cs="Arial" w:eastAsia="Arial" w:hAnsi="Arial"/>
          <w:b/>
          <w:bCs/>
          <w:color w:val="1A4A7A"/>
          <w:sz w:val="19"/>
          <w:szCs w:val="19"/>
        </w:rPr>
        <w:t xml:space="preserve">[16] </w:t>
      </w:r>
      <w:r>
        <w:rPr>
          <w:rFonts w:ascii="Arial" w:cs="Arial" w:eastAsia="Arial" w:hAnsi="Arial"/>
          <w:color w:val="1A1A2E"/>
          <w:sz w:val="19"/>
          <w:szCs w:val="19"/>
        </w:rPr>
        <w:t xml:space="preserve">Stiglitz, J. (2012). The Price of Inequality. W.W. Norton, Nueva York.</w:t>
      </w:r>
    </w:p>
    <w:p>
      <w:pPr>
        <w:spacing w:after="80" w:before="0"/>
        <w:ind w:left="360" w:hanging="360"/>
      </w:pPr>
      <w:r>
        <w:rPr>
          <w:rFonts w:ascii="Arial" w:cs="Arial" w:eastAsia="Arial" w:hAnsi="Arial"/>
          <w:b/>
          <w:bCs/>
          <w:color w:val="1A4A7A"/>
          <w:sz w:val="19"/>
          <w:szCs w:val="19"/>
        </w:rPr>
        <w:t xml:space="preserve">[17] </w:t>
      </w:r>
      <w:r>
        <w:rPr>
          <w:rFonts w:ascii="Arial" w:cs="Arial" w:eastAsia="Arial" w:hAnsi="Arial"/>
          <w:color w:val="1A1A2E"/>
          <w:sz w:val="19"/>
          <w:szCs w:val="19"/>
        </w:rPr>
        <w:t xml:space="preserve">Acemoglu, D. &amp; Robinson, J. (2012). Why Nations Fail. Crown Publishers, Nueva York.</w:t>
      </w:r>
    </w:p>
    <w:p>
      <w:pPr>
        <w:spacing w:after="80" w:before="0"/>
        <w:ind w:left="360" w:hanging="360"/>
      </w:pPr>
      <w:r>
        <w:rPr>
          <w:rFonts w:ascii="Arial" w:cs="Arial" w:eastAsia="Arial" w:hAnsi="Arial"/>
          <w:b/>
          <w:bCs/>
          <w:color w:val="1A4A7A"/>
          <w:sz w:val="19"/>
          <w:szCs w:val="19"/>
        </w:rPr>
        <w:t xml:space="preserve">[18] </w:t>
      </w:r>
      <w:r>
        <w:rPr>
          <w:rFonts w:ascii="Arial" w:cs="Arial" w:eastAsia="Arial" w:hAnsi="Arial"/>
          <w:color w:val="1A1A2E"/>
          <w:sz w:val="19"/>
          <w:szCs w:val="19"/>
        </w:rPr>
        <w:t xml:space="preserve">Ross, M. (2012). The Oil Curse. Princeton University Press, Princeton.</w:t>
      </w:r>
    </w:p>
    <w:p>
      <w:pPr>
        <w:spacing w:after="80" w:before="0"/>
        <w:ind w:left="360" w:hanging="360"/>
      </w:pPr>
      <w:r>
        <w:rPr>
          <w:rFonts w:ascii="Arial" w:cs="Arial" w:eastAsia="Arial" w:hAnsi="Arial"/>
          <w:b/>
          <w:bCs/>
          <w:color w:val="1A4A7A"/>
          <w:sz w:val="19"/>
          <w:szCs w:val="19"/>
        </w:rPr>
        <w:t xml:space="preserve">[19] </w:t>
      </w:r>
      <w:r>
        <w:rPr>
          <w:rFonts w:ascii="Arial" w:cs="Arial" w:eastAsia="Arial" w:hAnsi="Arial"/>
          <w:color w:val="1A1A2E"/>
          <w:sz w:val="19"/>
          <w:szCs w:val="19"/>
        </w:rPr>
        <w:t xml:space="preserve">SIPRI (2024). Military Expenditure Database. Stockholm International Peace Research Institute. sipri.org/databases/milex</w:t>
      </w:r>
    </w:p>
    <w:p>
      <w:pPr>
        <w:spacing w:after="80" w:before="0"/>
        <w:ind w:left="360" w:hanging="360"/>
      </w:pPr>
      <w:r>
        <w:rPr>
          <w:rFonts w:ascii="Arial" w:cs="Arial" w:eastAsia="Arial" w:hAnsi="Arial"/>
          <w:b/>
          <w:bCs/>
          <w:color w:val="1A4A7A"/>
          <w:sz w:val="19"/>
          <w:szCs w:val="19"/>
        </w:rPr>
        <w:t xml:space="preserve">[20] </w:t>
      </w:r>
      <w:r>
        <w:rPr>
          <w:rFonts w:ascii="Arial" w:cs="Arial" w:eastAsia="Arial" w:hAnsi="Arial"/>
          <w:color w:val="1A1A2E"/>
          <w:sz w:val="19"/>
          <w:szCs w:val="19"/>
        </w:rPr>
        <w:t xml:space="preserve">World Bank (2024). Poverty and Inequality Platform. pip.worldbank.org</w:t>
      </w:r>
    </w:p>
    <w:p>
      <w:pPr>
        <w:spacing w:after="80" w:before="0"/>
        <w:ind w:left="360" w:hanging="360"/>
      </w:pPr>
      <w:r>
        <w:rPr>
          <w:rFonts w:ascii="Arial" w:cs="Arial" w:eastAsia="Arial" w:hAnsi="Arial"/>
          <w:b/>
          <w:bCs/>
          <w:color w:val="1A4A7A"/>
          <w:sz w:val="19"/>
          <w:szCs w:val="19"/>
        </w:rPr>
        <w:t xml:space="preserve">[21] </w:t>
      </w:r>
      <w:r>
        <w:rPr>
          <w:rFonts w:ascii="Arial" w:cs="Arial" w:eastAsia="Arial" w:hAnsi="Arial"/>
          <w:color w:val="1A1A2E"/>
          <w:sz w:val="19"/>
          <w:szCs w:val="19"/>
        </w:rPr>
        <w:t xml:space="preserve">OCDE (2024). Society at a Glance: OECD Social Indicators. OCDE Publishing, París.</w:t>
      </w:r>
    </w:p>
    <w:p>
      <w:pPr>
        <w:pStyle w:val="Heading2"/>
        <w:spacing w:after="130" w:before="260"/>
      </w:pPr>
      <w:r>
        <w:rPr>
          <w:rFonts w:ascii="Arial" w:cs="Arial" w:eastAsia="Arial" w:hAnsi="Arial"/>
          <w:b/>
          <w:bCs/>
          <w:color w:val="16213E"/>
          <w:sz w:val="24"/>
          <w:szCs w:val="24"/>
        </w:rPr>
        <w:t xml:space="preserve">Sección D — Evidencia Política y Ciencias Sociales</w:t>
      </w:r>
    </w:p>
    <w:p>
      <w:pPr>
        <w:spacing w:after="80" w:before="0"/>
        <w:ind w:left="360" w:hanging="360"/>
      </w:pPr>
      <w:r>
        <w:rPr>
          <w:rFonts w:ascii="Arial" w:cs="Arial" w:eastAsia="Arial" w:hAnsi="Arial"/>
          <w:b/>
          <w:bCs/>
          <w:color w:val="1A4A7A"/>
          <w:sz w:val="19"/>
          <w:szCs w:val="19"/>
        </w:rPr>
        <w:t xml:space="preserve">[22] </w:t>
      </w:r>
      <w:r>
        <w:rPr>
          <w:rFonts w:ascii="Arial" w:cs="Arial" w:eastAsia="Arial" w:hAnsi="Arial"/>
          <w:color w:val="1A1A2E"/>
          <w:sz w:val="19"/>
          <w:szCs w:val="19"/>
        </w:rPr>
        <w:t xml:space="preserve">UNODC (2023). Global Study on Homicide. Oficina de las Naciones Unidas contra la Droga y el Delito, Viena.</w:t>
      </w:r>
    </w:p>
    <w:p>
      <w:pPr>
        <w:spacing w:after="80" w:before="0"/>
        <w:ind w:left="360" w:hanging="360"/>
      </w:pPr>
      <w:r>
        <w:rPr>
          <w:rFonts w:ascii="Arial" w:cs="Arial" w:eastAsia="Arial" w:hAnsi="Arial"/>
          <w:b/>
          <w:bCs/>
          <w:color w:val="1A4A7A"/>
          <w:sz w:val="19"/>
          <w:szCs w:val="19"/>
        </w:rPr>
        <w:t xml:space="preserve">[23] </w:t>
      </w:r>
      <w:r>
        <w:rPr>
          <w:rFonts w:ascii="Arial" w:cs="Arial" w:eastAsia="Arial" w:hAnsi="Arial"/>
          <w:color w:val="1A1A2E"/>
          <w:sz w:val="19"/>
          <w:szCs w:val="19"/>
        </w:rPr>
        <w:t xml:space="preserve">Transparency International (2024). Índice de Percepción de la Corrupción. Transparency International, Berlín.</w:t>
      </w:r>
    </w:p>
    <w:p>
      <w:pPr>
        <w:spacing w:after="80" w:before="0"/>
        <w:ind w:left="360" w:hanging="360"/>
      </w:pPr>
      <w:r>
        <w:rPr>
          <w:rFonts w:ascii="Arial" w:cs="Arial" w:eastAsia="Arial" w:hAnsi="Arial"/>
          <w:b/>
          <w:bCs/>
          <w:color w:val="1A4A7A"/>
          <w:sz w:val="19"/>
          <w:szCs w:val="19"/>
        </w:rPr>
        <w:t xml:space="preserve">[24] </w:t>
      </w:r>
      <w:r>
        <w:rPr>
          <w:rFonts w:ascii="Arial" w:cs="Arial" w:eastAsia="Arial" w:hAnsi="Arial"/>
          <w:color w:val="1A1A2E"/>
          <w:sz w:val="19"/>
          <w:szCs w:val="19"/>
        </w:rPr>
        <w:t xml:space="preserve">World Justice Project (2024). Rule of Law Index. Washington DC. worldjusticeproject.org</w:t>
      </w:r>
    </w:p>
    <w:p>
      <w:pPr>
        <w:spacing w:after="80" w:before="0"/>
        <w:ind w:left="360" w:hanging="360"/>
      </w:pPr>
      <w:r>
        <w:rPr>
          <w:rFonts w:ascii="Arial" w:cs="Arial" w:eastAsia="Arial" w:hAnsi="Arial"/>
          <w:b/>
          <w:bCs/>
          <w:color w:val="1A4A7A"/>
          <w:sz w:val="19"/>
          <w:szCs w:val="19"/>
        </w:rPr>
        <w:t xml:space="preserve">[25] </w:t>
      </w:r>
      <w:r>
        <w:rPr>
          <w:rFonts w:ascii="Arial" w:cs="Arial" w:eastAsia="Arial" w:hAnsi="Arial"/>
          <w:color w:val="1A1A2E"/>
          <w:sz w:val="19"/>
          <w:szCs w:val="19"/>
        </w:rPr>
        <w:t xml:space="preserve">Arendt, H. (1963). On Revolution. Viking Press, Nueva York.</w:t>
      </w:r>
    </w:p>
    <w:p>
      <w:pPr>
        <w:spacing w:after="80" w:before="0"/>
        <w:ind w:left="360" w:hanging="360"/>
      </w:pPr>
      <w:r>
        <w:rPr>
          <w:rFonts w:ascii="Arial" w:cs="Arial" w:eastAsia="Arial" w:hAnsi="Arial"/>
          <w:b/>
          <w:bCs/>
          <w:color w:val="1A4A7A"/>
          <w:sz w:val="19"/>
          <w:szCs w:val="19"/>
        </w:rPr>
        <w:t xml:space="preserve">[26] </w:t>
      </w:r>
      <w:r>
        <w:rPr>
          <w:rFonts w:ascii="Arial" w:cs="Arial" w:eastAsia="Arial" w:hAnsi="Arial"/>
          <w:color w:val="1A1A2E"/>
          <w:sz w:val="19"/>
          <w:szCs w:val="19"/>
        </w:rPr>
        <w:t xml:space="preserve">Hobbes, T. (1651). Leviathan. Andrew Crooke, Londres.</w:t>
      </w:r>
    </w:p>
    <w:p>
      <w:pPr>
        <w:spacing w:after="80" w:before="0"/>
        <w:ind w:left="360" w:hanging="360"/>
      </w:pPr>
      <w:r>
        <w:rPr>
          <w:rFonts w:ascii="Arial" w:cs="Arial" w:eastAsia="Arial" w:hAnsi="Arial"/>
          <w:b/>
          <w:bCs/>
          <w:color w:val="1A4A7A"/>
          <w:sz w:val="19"/>
          <w:szCs w:val="19"/>
        </w:rPr>
        <w:t xml:space="preserve">[27] </w:t>
      </w:r>
      <w:r>
        <w:rPr>
          <w:rFonts w:ascii="Arial" w:cs="Arial" w:eastAsia="Arial" w:hAnsi="Arial"/>
          <w:color w:val="1A1A2E"/>
          <w:sz w:val="19"/>
          <w:szCs w:val="19"/>
        </w:rPr>
        <w:t xml:space="preserve">Marshall, A. (1890). Principles of Economics. Macmillan, Londres.</w:t>
      </w:r>
    </w:p>
    <w:p>
      <w:pPr>
        <w:spacing w:after="80" w:before="0"/>
        <w:ind w:left="360" w:hanging="360"/>
      </w:pPr>
      <w:r>
        <w:rPr>
          <w:rFonts w:ascii="Arial" w:cs="Arial" w:eastAsia="Arial" w:hAnsi="Arial"/>
          <w:b/>
          <w:bCs/>
          <w:color w:val="1A4A7A"/>
          <w:sz w:val="19"/>
          <w:szCs w:val="19"/>
        </w:rPr>
        <w:t xml:space="preserve">[28] </w:t>
      </w:r>
      <w:r>
        <w:rPr>
          <w:rFonts w:ascii="Arial" w:cs="Arial" w:eastAsia="Arial" w:hAnsi="Arial"/>
          <w:color w:val="1A1A2E"/>
          <w:sz w:val="19"/>
          <w:szCs w:val="19"/>
        </w:rPr>
        <w:t xml:space="preserve">Keynes, J.M. (1936). The General Theory of Employment, Interest and Money. Macmillan, Londres.</w:t>
      </w:r>
    </w:p>
    <w:p>
      <w:pPr>
        <w:spacing w:after="80" w:before="0"/>
        <w:ind w:left="360" w:hanging="360"/>
      </w:pPr>
      <w:r>
        <w:rPr>
          <w:rFonts w:ascii="Arial" w:cs="Arial" w:eastAsia="Arial" w:hAnsi="Arial"/>
          <w:b/>
          <w:bCs/>
          <w:color w:val="1A4A7A"/>
          <w:sz w:val="19"/>
          <w:szCs w:val="19"/>
        </w:rPr>
        <w:t xml:space="preserve">[29] </w:t>
      </w:r>
      <w:r>
        <w:rPr>
          <w:rFonts w:ascii="Arial" w:cs="Arial" w:eastAsia="Arial" w:hAnsi="Arial"/>
          <w:color w:val="1A1A2E"/>
          <w:sz w:val="19"/>
          <w:szCs w:val="19"/>
        </w:rPr>
        <w:t xml:space="preserve">Friedman, M. (1962). Capitalism and Freedom. University of Chicago Press, Chicago.</w:t>
      </w:r>
    </w:p>
    <w:p>
      <w:pPr>
        <w:spacing w:after="80" w:before="0"/>
        <w:ind w:left="360" w:hanging="360"/>
      </w:pPr>
      <w:r>
        <w:rPr>
          <w:rFonts w:ascii="Arial" w:cs="Arial" w:eastAsia="Arial" w:hAnsi="Arial"/>
          <w:b/>
          <w:bCs/>
          <w:color w:val="1A4A7A"/>
          <w:sz w:val="19"/>
          <w:szCs w:val="19"/>
        </w:rPr>
        <w:t xml:space="preserve">[30] </w:t>
      </w:r>
      <w:r>
        <w:rPr>
          <w:rFonts w:ascii="Arial" w:cs="Arial" w:eastAsia="Arial" w:hAnsi="Arial"/>
          <w:color w:val="1A1A2E"/>
          <w:sz w:val="19"/>
          <w:szCs w:val="19"/>
        </w:rPr>
        <w:t xml:space="preserve">Marx, K. &amp; Engels, F. (1848). El Manifiesto Comunista. Diversas ediciones.</w:t>
      </w:r>
    </w:p>
    <w:p>
      <w:pPr>
        <w:spacing w:after="80" w:before="0"/>
        <w:ind w:left="360" w:hanging="360"/>
      </w:pPr>
      <w:r>
        <w:rPr>
          <w:rFonts w:ascii="Arial" w:cs="Arial" w:eastAsia="Arial" w:hAnsi="Arial"/>
          <w:b/>
          <w:bCs/>
          <w:color w:val="1A4A7A"/>
          <w:sz w:val="19"/>
          <w:szCs w:val="19"/>
        </w:rPr>
        <w:t xml:space="preserve">[31] </w:t>
      </w:r>
      <w:r>
        <w:rPr>
          <w:rFonts w:ascii="Arial" w:cs="Arial" w:eastAsia="Arial" w:hAnsi="Arial"/>
          <w:color w:val="1A1A2E"/>
          <w:sz w:val="19"/>
          <w:szCs w:val="19"/>
        </w:rPr>
        <w:t xml:space="preserve">Mudde, C. &amp; Kaltwasser, C.R. (2017). Populism: A Very Short Introduction. Oxford University Press, Oxford.</w:t>
      </w:r>
    </w:p>
    <w:p>
      <w:pPr>
        <w:spacing w:after="80" w:before="0"/>
        <w:ind w:left="360" w:hanging="360"/>
      </w:pPr>
      <w:r>
        <w:rPr>
          <w:rFonts w:ascii="Arial" w:cs="Arial" w:eastAsia="Arial" w:hAnsi="Arial"/>
          <w:b/>
          <w:bCs/>
          <w:color w:val="1A4A7A"/>
          <w:sz w:val="19"/>
          <w:szCs w:val="19"/>
        </w:rPr>
        <w:t xml:space="preserve">[32] </w:t>
      </w:r>
      <w:r>
        <w:rPr>
          <w:rFonts w:ascii="Arial" w:cs="Arial" w:eastAsia="Arial" w:hAnsi="Arial"/>
          <w:color w:val="1A1A2E"/>
          <w:sz w:val="19"/>
          <w:szCs w:val="19"/>
        </w:rPr>
        <w:t xml:space="preserve">OIM (2023). World Migration Report. Organización Internacional para las Migraciones, Ginebra.</w:t>
      </w:r>
    </w:p>
    <w:p>
      <w:pPr>
        <w:spacing w:after="80" w:before="0"/>
        <w:ind w:left="360" w:hanging="360"/>
      </w:pPr>
      <w:r>
        <w:rPr>
          <w:rFonts w:ascii="Arial" w:cs="Arial" w:eastAsia="Arial" w:hAnsi="Arial"/>
          <w:b/>
          <w:bCs/>
          <w:color w:val="1A4A7A"/>
          <w:sz w:val="19"/>
          <w:szCs w:val="19"/>
        </w:rPr>
        <w:t xml:space="preserve">[33] </w:t>
      </w:r>
      <w:r>
        <w:rPr>
          <w:rFonts w:ascii="Arial" w:cs="Arial" w:eastAsia="Arial" w:hAnsi="Arial"/>
          <w:color w:val="1A1A2E"/>
          <w:sz w:val="19"/>
          <w:szCs w:val="19"/>
        </w:rPr>
        <w:t xml:space="preserve">OMS (2024). Global Health Observatory. Organización Mundial de la Salud, Ginebra. who.int/data/gho</w:t>
      </w:r>
    </w:p>
    <w:p>
      <w:pPr>
        <w:spacing w:after="80" w:before="0"/>
        <w:ind w:left="360" w:hanging="360"/>
      </w:pPr>
      <w:r>
        <w:rPr>
          <w:rFonts w:ascii="Arial" w:cs="Arial" w:eastAsia="Arial" w:hAnsi="Arial"/>
          <w:b/>
          <w:bCs/>
          <w:color w:val="1A4A7A"/>
          <w:sz w:val="19"/>
          <w:szCs w:val="19"/>
        </w:rPr>
        <w:t xml:space="preserve">[34] </w:t>
      </w:r>
      <w:r>
        <w:rPr>
          <w:rFonts w:ascii="Arial" w:cs="Arial" w:eastAsia="Arial" w:hAnsi="Arial"/>
          <w:color w:val="1A1A2E"/>
          <w:sz w:val="19"/>
          <w:szCs w:val="19"/>
        </w:rPr>
        <w:t xml:space="preserve">Putnam, R. (2000). Bowling Alone: The Collapse and Revival of American Community. Simon &amp; Schuster, Nueva York.</w:t>
      </w:r>
    </w:p>
    <w:p>
      <w:pPr>
        <w:spacing w:after="80" w:before="0"/>
        <w:ind w:left="360" w:hanging="360"/>
      </w:pPr>
      <w:r>
        <w:rPr>
          <w:rFonts w:ascii="Arial" w:cs="Arial" w:eastAsia="Arial" w:hAnsi="Arial"/>
          <w:b/>
          <w:bCs/>
          <w:color w:val="1A4A7A"/>
          <w:sz w:val="19"/>
          <w:szCs w:val="19"/>
        </w:rPr>
        <w:t xml:space="preserve">[35] </w:t>
      </w:r>
      <w:r>
        <w:rPr>
          <w:rFonts w:ascii="Arial" w:cs="Arial" w:eastAsia="Arial" w:hAnsi="Arial"/>
          <w:color w:val="1A1A2E"/>
          <w:sz w:val="19"/>
          <w:szCs w:val="19"/>
        </w:rPr>
        <w:t xml:space="preserve">Sen, A. (1999). Development as Freedom. Oxford University Press, Oxford.</w:t>
      </w:r>
    </w:p>
    <w:p>
      <w:pPr>
        <w:pStyle w:val="Heading2"/>
        <w:spacing w:after="130" w:before="260"/>
      </w:pPr>
      <w:r>
        <w:rPr>
          <w:rFonts w:ascii="Arial" w:cs="Arial" w:eastAsia="Arial" w:hAnsi="Arial"/>
          <w:b/>
          <w:bCs/>
          <w:color w:val="16213E"/>
          <w:sz w:val="24"/>
          <w:szCs w:val="24"/>
        </w:rPr>
        <w:t xml:space="preserve">Sección E — Ciencia de la Complejidad y Sistemas</w:t>
      </w:r>
    </w:p>
    <w:p>
      <w:pPr>
        <w:spacing w:after="80" w:before="0"/>
        <w:ind w:left="360" w:hanging="360"/>
      </w:pPr>
      <w:r>
        <w:rPr>
          <w:rFonts w:ascii="Arial" w:cs="Arial" w:eastAsia="Arial" w:hAnsi="Arial"/>
          <w:b/>
          <w:bCs/>
          <w:color w:val="1A4A7A"/>
          <w:sz w:val="19"/>
          <w:szCs w:val="19"/>
        </w:rPr>
        <w:t xml:space="preserve">[36] </w:t>
      </w:r>
      <w:r>
        <w:rPr>
          <w:rFonts w:ascii="Arial" w:cs="Arial" w:eastAsia="Arial" w:hAnsi="Arial"/>
          <w:color w:val="1A1A2E"/>
          <w:sz w:val="19"/>
          <w:szCs w:val="19"/>
        </w:rPr>
        <w:t xml:space="preserve">Arthur, W.B. (2015). Complexity and the Economy. Oxford University Press, Oxford.</w:t>
      </w:r>
    </w:p>
    <w:p>
      <w:pPr>
        <w:spacing w:after="80" w:before="0"/>
        <w:ind w:left="360" w:hanging="360"/>
      </w:pPr>
      <w:r>
        <w:rPr>
          <w:rFonts w:ascii="Arial" w:cs="Arial" w:eastAsia="Arial" w:hAnsi="Arial"/>
          <w:b/>
          <w:bCs/>
          <w:color w:val="1A4A7A"/>
          <w:sz w:val="19"/>
          <w:szCs w:val="19"/>
        </w:rPr>
        <w:t xml:space="preserve">[37] </w:t>
      </w:r>
      <w:r>
        <w:rPr>
          <w:rFonts w:ascii="Arial" w:cs="Arial" w:eastAsia="Arial" w:hAnsi="Arial"/>
          <w:color w:val="1A1A2E"/>
          <w:sz w:val="19"/>
          <w:szCs w:val="19"/>
        </w:rPr>
        <w:t xml:space="preserve">Holland, J.H. (1995). Hidden Order: How Adaptation Builds Complexity. Addison-Wesley, Reading MA.</w:t>
      </w:r>
    </w:p>
    <w:p>
      <w:pPr>
        <w:spacing w:after="80" w:before="0"/>
        <w:ind w:left="360" w:hanging="360"/>
      </w:pPr>
      <w:r>
        <w:rPr>
          <w:rFonts w:ascii="Arial" w:cs="Arial" w:eastAsia="Arial" w:hAnsi="Arial"/>
          <w:b/>
          <w:bCs/>
          <w:color w:val="1A4A7A"/>
          <w:sz w:val="19"/>
          <w:szCs w:val="19"/>
        </w:rPr>
        <w:t xml:space="preserve">[38] </w:t>
      </w:r>
      <w:r>
        <w:rPr>
          <w:rFonts w:ascii="Arial" w:cs="Arial" w:eastAsia="Arial" w:hAnsi="Arial"/>
          <w:color w:val="1A1A2E"/>
          <w:sz w:val="19"/>
          <w:szCs w:val="19"/>
        </w:rPr>
        <w:t xml:space="preserve">Barabási, A.L. (2002). Linked: The New Science of Networks. Perseus Publishing, Cambridge MA.</w:t>
      </w:r>
    </w:p>
    <w:p>
      <w:pPr>
        <w:spacing w:after="80" w:before="0"/>
        <w:ind w:left="360" w:hanging="360"/>
      </w:pPr>
      <w:r>
        <w:rPr>
          <w:rFonts w:ascii="Arial" w:cs="Arial" w:eastAsia="Arial" w:hAnsi="Arial"/>
          <w:b/>
          <w:bCs/>
          <w:color w:val="1A4A7A"/>
          <w:sz w:val="19"/>
          <w:szCs w:val="19"/>
        </w:rPr>
        <w:t xml:space="preserve">[39] </w:t>
      </w:r>
      <w:r>
        <w:rPr>
          <w:rFonts w:ascii="Arial" w:cs="Arial" w:eastAsia="Arial" w:hAnsi="Arial"/>
          <w:color w:val="1A1A2E"/>
          <w:sz w:val="19"/>
          <w:szCs w:val="19"/>
        </w:rPr>
        <w:t xml:space="preserve">Meadows, D. (2008). Thinking in Systems: A Primer. Chelsea Green Publishing, Vermont.</w:t>
      </w:r>
    </w:p>
    <w:p>
      <w:pPr>
        <w:spacing w:after="80" w:before="0"/>
        <w:ind w:left="360" w:hanging="360"/>
      </w:pPr>
      <w:r>
        <w:rPr>
          <w:rFonts w:ascii="Arial" w:cs="Arial" w:eastAsia="Arial" w:hAnsi="Arial"/>
          <w:b/>
          <w:bCs/>
          <w:color w:val="1A4A7A"/>
          <w:sz w:val="19"/>
          <w:szCs w:val="19"/>
        </w:rPr>
        <w:t xml:space="preserve">[40] </w:t>
      </w:r>
      <w:r>
        <w:rPr>
          <w:rFonts w:ascii="Arial" w:cs="Arial" w:eastAsia="Arial" w:hAnsi="Arial"/>
          <w:color w:val="1A1A2E"/>
          <w:sz w:val="19"/>
          <w:szCs w:val="19"/>
        </w:rPr>
        <w:t xml:space="preserve">Gell-Mann, M. (1994). The Quark and the Jaguar. W.H. Freeman, Nueva York.</w:t>
      </w:r>
    </w:p>
    <w:p>
      <w:pPr>
        <w:pBdr>
          <w:bottom w:val="single" w:color="1A4A7A" w:sz="4" w:space="1"/>
        </w:pBdr>
        <w:spacing w:after="200" w:before="200"/>
      </w:pPr>
    </w:p>
    <w:p>
      <w:pPr>
        <w:spacing w:after="120" w:before="200"/>
        <w:jc w:val="center"/>
      </w:pPr>
      <w:r>
        <w:rPr>
          <w:rFonts w:ascii="Arial" w:cs="Arial" w:eastAsia="Arial" w:hAnsi="Arial"/>
          <w:i/>
          <w:iCs/>
          <w:color w:val="444466"/>
          <w:sz w:val="22"/>
          <w:szCs w:val="22"/>
        </w:rPr>
        <w:t xml:space="preserve">Sabemos estabilizar la atmósfera de un planeta.</w:t>
      </w:r>
    </w:p>
    <w:p>
      <w:pPr>
        <w:spacing w:after="200"/>
        <w:jc w:val="center"/>
      </w:pPr>
      <w:r>
        <w:rPr>
          <w:rFonts w:ascii="Arial" w:cs="Arial" w:eastAsia="Arial" w:hAnsi="Arial"/>
          <w:b/>
          <w:bCs/>
          <w:i/>
          <w:iCs/>
          <w:color w:val="1A1A2E"/>
          <w:sz w:val="22"/>
          <w:szCs w:val="22"/>
        </w:rPr>
        <w:t xml:space="preserve">Todavía fingimos que no sabemos cómo distribuir el pan.</w:t>
      </w:r>
    </w:p>
    <w:p>
      <w:pPr>
        <w:spacing w:after="60"/>
        <w:jc w:val="center"/>
      </w:pPr>
      <w:r>
        <w:rPr>
          <w:rFonts w:ascii="Arial" w:cs="Arial" w:eastAsia="Arial" w:hAnsi="Arial"/>
          <w:b/>
          <w:bCs/>
          <w:color w:val="1A1A2E"/>
          <w:sz w:val="22"/>
          <w:szCs w:val="22"/>
        </w:rPr>
        <w:t xml:space="preserve">Hernán Diego Herrero</w:t>
      </w:r>
    </w:p>
    <w:p>
      <w:pPr>
        <w:spacing w:after="40"/>
        <w:jc w:val="center"/>
      </w:pPr>
      <w:r>
        <w:rPr>
          <w:rFonts w:ascii="Arial" w:cs="Arial" w:eastAsia="Arial" w:hAnsi="Arial"/>
          <w:color w:val="444466"/>
          <w:sz w:val="20"/>
          <w:szCs w:val="20"/>
        </w:rPr>
        <w:t xml:space="preserve">Fundación Hijos del Sol y la Basura  ·  Córdoba, Argentina  ·  Abril 2026</w:t>
      </w:r>
    </w:p>
    <w:p>
      <w:pPr>
        <w:jc w:val="center"/>
      </w:pPr>
      <w:r>
        <w:rPr>
          <w:rFonts w:ascii="Arial" w:cs="Arial" w:eastAsia="Arial" w:hAnsi="Arial"/>
          <w:color w:val="2E6DA4"/>
          <w:sz w:val="20"/>
          <w:szCs w:val="20"/>
        </w:rPr>
        <w:t xml:space="preserve">hdbasura25-oss.github.io/Hijosdelabasura  ·  CC BY-SA 4.0</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4A7A" w:sz="4" w:space="1"/>
      </w:pBdr>
      <w:tabs>
        <w:tab w:val="right" w:pos="9026"/>
      </w:tabs>
      <w:spacing w:before="80"/>
      <w:jc w:val="left"/>
    </w:pPr>
    <w:r>
      <w:rPr>
        <w:rFonts w:ascii="Arial" w:cs="Arial" w:eastAsia="Arial" w:hAnsi="Arial"/>
        <w:color w:val="666688"/>
        <w:sz w:val="18"/>
        <w:szCs w:val="18"/>
      </w:rPr>
      <w:t xml:space="preserve">Fundación Hijos del Sol y la Basura  ·  Córdoba, Argentina</w:t>
    </w:r>
    <w:r>
      <w:rPr>
        <w:rFonts w:ascii="Arial" w:cs="Arial" w:eastAsia="Arial" w:hAnsi="Arial"/>
        <w:sz w:val="18"/>
        <w:szCs w:val="18"/>
      </w:rPr>
      <w:t xml:space="preserve">	</w:t>
    </w:r>
    <w:r>
      <w:rPr>
        <w:rFonts w:ascii="Arial" w:cs="Arial" w:eastAsia="Arial" w:hAnsi="Arial"/>
        <w:color w:val="666688"/>
        <w:sz w:val="18"/>
        <w:szCs w:val="18"/>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4A7A" w:sz="4" w:space="1"/>
      </w:pBdr>
      <w:tabs>
        <w:tab w:val="right" w:pos="9026"/>
      </w:tabs>
      <w:spacing w:after="80"/>
    </w:pPr>
    <w:r>
      <w:rPr>
        <w:rFonts w:ascii="Arial" w:cs="Arial" w:eastAsia="Arial" w:hAnsi="Arial"/>
        <w:color w:val="666688"/>
        <w:sz w:val="18"/>
        <w:szCs w:val="18"/>
      </w:rPr>
      <w:t xml:space="preserve">Herrero, H.D. (2026)  ·  Sistemas Sociales Disipativos y Economía Disipativa</w:t>
    </w:r>
    <w:r>
      <w:rPr>
        <w:rFonts w:ascii="Arial" w:cs="Arial" w:eastAsia="Arial" w:hAnsi="Arial"/>
        <w:sz w:val="18"/>
        <w:szCs w:val="18"/>
      </w:rPr>
      <w:t xml:space="preserve">	</w:t>
    </w:r>
    <w:r>
      <w:rPr>
        <w:rFonts w:ascii="Arial" w:cs="Arial" w:eastAsia="Arial" w:hAnsi="Arial"/>
        <w:color w:val="666688"/>
        <w:sz w:val="18"/>
        <w:szCs w:val="18"/>
      </w:rPr>
      <w:t xml:space="preserve">CC BY-SA 4.0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400"/>
      <w:outlineLvl w:val="0"/>
    </w:pPr>
    <w:rPr>
      <w:rFonts w:ascii="Arial" w:cs="Arial" w:eastAsia="Arial" w:hAnsi="Arial"/>
      <w:b/>
      <w:bCs/>
      <w:color w:val="1A1A2E"/>
      <w:sz w:val="30"/>
      <w:szCs w:val="30"/>
    </w:rPr>
  </w:style>
  <w:style w:type="paragraph" w:styleId="Heading2">
    <w:name w:val="Heading 2"/>
    <w:basedOn w:val="Normal"/>
    <w:next w:val="Normal"/>
    <w:qFormat/>
    <w:pPr>
      <w:spacing w:after="130" w:before="260"/>
      <w:outlineLvl w:val="1"/>
    </w:pPr>
    <w:rPr>
      <w:rFonts w:ascii="Arial" w:cs="Arial" w:eastAsia="Arial" w:hAnsi="Arial"/>
      <w:b/>
      <w:bCs/>
      <w:color w:val="16213E"/>
      <w:sz w:val="24"/>
      <w:szCs w:val="24"/>
    </w:rPr>
  </w:style>
  <w:style w:type="paragraph" w:styleId="Heading3">
    <w:name w:val="Heading 3"/>
    <w:basedOn w:val="Normal"/>
    <w:next w:val="Normal"/>
    <w:qFormat/>
    <w:pPr>
      <w:spacing w:after="100" w:before="200"/>
      <w:outlineLvl w:val="2"/>
    </w:pPr>
    <w:rPr>
      <w:rFonts w:ascii="Arial" w:cs="Arial" w:eastAsia="Arial" w:hAnsi="Arial"/>
      <w:b/>
      <w:bCs/>
      <w:color w:val="1A4A7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2026-04-27T01:12:34.623Z</dcterms:created>
  <dcterms:modified xsi:type="dcterms:W3CDTF">2026-04-27T01:12:34.624Z</dcterms:modified>
</cp:coreProperties>
</file>

<file path=docProps/custom.xml><?xml version="1.0" encoding="utf-8"?>
<Properties xmlns="http://schemas.openxmlformats.org/officeDocument/2006/custom-properties" xmlns:vt="http://schemas.openxmlformats.org/officeDocument/2006/docPropsVTypes"/>
</file>