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500"/>
      </w:pPr>
      <w:r>
        <w:t xml:space="preserve"/>
      </w:r>
    </w:p>
    <w:p>
      <w:pPr>
        <w:spacing w:after="80"/>
        <w:jc w:val="center"/>
      </w:pPr>
      <w:r>
        <w:rPr>
          <w:rFonts w:ascii="Arial" w:cs="Arial" w:eastAsia="Arial" w:hAnsi="Arial"/>
          <w:b/>
          <w:bCs/>
          <w:caps/>
          <w:color w:val="C8922A"/>
          <w:sz w:val="18"/>
          <w:szCs w:val="18"/>
        </w:rPr>
        <w:t xml:space="preserve">WORKING PAPER  —  PRE-PUBLICATION DRAFT</w:t>
      </w:r>
    </w:p>
    <w:p>
      <w:pPr>
        <w:pBdr>
          <w:bottom w:val="single" w:color="C8922A" w:sz="8" w:space="1"/>
        </w:pBdr>
        <w:spacing w:after="80" w:before="80"/>
      </w:pPr>
      <w:r>
        <w:t xml:space="preserve"/>
      </w:r>
    </w:p>
    <w:p>
      <w:pPr>
        <w:spacing w:after="320" w:before="320"/>
      </w:pPr>
      <w:r>
        <w:t xml:space="preserve"/>
      </w:r>
    </w:p>
    <w:p>
      <w:pPr>
        <w:spacing w:after="100"/>
        <w:jc w:val="center"/>
      </w:pPr>
      <w:r>
        <w:rPr>
          <w:rFonts w:ascii="Georgia" w:cs="Georgia" w:eastAsia="Georgia" w:hAnsi="Georgia"/>
          <w:b/>
          <w:bCs/>
          <w:color w:val="1B2A4A"/>
          <w:sz w:val="52"/>
          <w:szCs w:val="52"/>
        </w:rPr>
        <w:t xml:space="preserve">Structural Mechanics of Socioeconomic Systems:</w:t>
      </w:r>
    </w:p>
    <w:p>
      <w:pPr>
        <w:spacing w:after="80"/>
        <w:jc w:val="center"/>
      </w:pPr>
      <w:r>
        <w:rPr>
          <w:rFonts w:ascii="Georgia" w:cs="Georgia" w:eastAsia="Georgia" w:hAnsi="Georgia"/>
          <w:i/>
          <w:iCs/>
          <w:color w:val="2E5FA3"/>
          <w:sz w:val="36"/>
          <w:szCs w:val="36"/>
        </w:rPr>
        <w:t xml:space="preserve">A Unified Framework Beyond Phenomenological Economics</w:t>
      </w:r>
    </w:p>
    <w:p>
      <w:pPr>
        <w:spacing w:after="500"/>
        <w:jc w:val="center"/>
      </w:pPr>
      <w:r>
        <w:rPr>
          <w:rFonts w:ascii="Courier New" w:cs="Courier New" w:eastAsia="Courier New" w:hAnsi="Courier New"/>
          <w:b/>
          <w:bCs/>
          <w:color w:val="C8922A"/>
          <w:sz w:val="28"/>
          <w:szCs w:val="28"/>
        </w:rPr>
        <w:t xml:space="preserve">The Re_s Model</w:t>
      </w:r>
    </w:p>
    <w:p>
      <w:pPr>
        <w:pBdr>
          <w:bottom w:val="single" w:color="D0D7E3" w:sz="6" w:space="1"/>
        </w:pBdr>
        <w:spacing w:after="80" w:before="80"/>
      </w:pPr>
      <w:r>
        <w:t xml:space="preserve"/>
      </w:r>
    </w:p>
    <w:p>
      <w:pPr>
        <w:spacing w:after="200" w:before="200"/>
      </w:pPr>
      <w:r>
        <w:t xml:space="preserve"/>
      </w:r>
    </w:p>
    <w:p>
      <w:pPr>
        <w:spacing w:after="140"/>
      </w:pPr>
      <w:r>
        <w:rPr>
          <w:rFonts w:ascii="Arial" w:cs="Arial" w:eastAsia="Arial" w:hAnsi="Arial"/>
          <w:b/>
          <w:bCs/>
          <w:color w:val="1B2A4A"/>
          <w:sz w:val="24"/>
          <w:szCs w:val="24"/>
        </w:rPr>
        <w:t xml:space="preserve">ABSTRACT</w:t>
      </w:r>
    </w:p>
    <w:p>
      <w:pPr>
        <w:shd w:fill="F4F6F9" w:val="clear"/>
        <w:spacing w:after="140" w:before="0" w:line="340"/>
        <w:ind w:left="200" w:right="200"/>
        <w:jc w:val="both"/>
      </w:pPr>
      <w:r>
        <w:rPr>
          <w:rFonts w:ascii="Georgia" w:cs="Georgia" w:eastAsia="Georgia" w:hAnsi="Georgia"/>
          <w:color w:val="2D2D2D"/>
          <w:sz w:val="20"/>
          <w:szCs w:val="20"/>
        </w:rPr>
        <w:t xml:space="preserve">The dominant schools of economic thought — neoclassical, Keynesian, institutionalist, Marxist, Austrian, and complexity economics — each capture genuine and empirically grounded aspects of socioeconomic reality. This paper does not dispute their validity. It argues that all of them operate at a fundamentally phenomenological level: they describe observed regularities without a complete structural model of the deep mechanisms that generate those patterns. The distinction is not a critique of rigor — it is an epistemological observation about the level of description at which each theory operates.</w:t>
      </w:r>
    </w:p>
    <w:p>
      <w:pPr>
        <w:shd w:fill="F4F6F9" w:val="clear"/>
        <w:spacing w:after="140" w:before="140" w:line="340"/>
        <w:ind w:left="200" w:right="200"/>
        <w:jc w:val="both"/>
      </w:pPr>
      <w:r>
        <w:rPr>
          <w:rFonts w:ascii="Georgia" w:cs="Georgia" w:eastAsia="Georgia" w:hAnsi="Georgia"/>
          <w:color w:val="2D2D2D"/>
          <w:sz w:val="20"/>
          <w:szCs w:val="20"/>
        </w:rPr>
        <w:t xml:space="preserve">Drawing on dissipative systems theory (Prigogine), materials science, institutional economics (North, Ostrom), and complexity theory, we propose a unified structural framework governed by the equation Re_s = [(Δ · ν) / μ] · M · (1 + φ²) · T. The five primary variables — social gradient (Δ), systemic energy flux (ν), institutional cohesion (μ), structural friction (φ), internal microstructure (M), and accumulated fatigue (T) — are derived from first principles and operationalized with existing data sources.</w:t>
      </w:r>
    </w:p>
    <w:p>
      <w:pPr>
        <w:pBdr>
          <w:left w:val="single" w:color="3D5066" w:sz="10" w:space="10"/>
        </w:pBdr>
        <w:shd w:fill="F0F2F8" w:val="clear"/>
        <w:spacing w:after="140" w:before="140" w:line="340"/>
        <w:ind w:left="200" w:right="200"/>
        <w:jc w:val="both"/>
      </w:pPr>
      <w:r>
        <w:rPr>
          <w:rFonts w:ascii="Georgia" w:cs="Georgia" w:eastAsia="Georgia" w:hAnsi="Georgia"/>
          <w:i/>
          <w:iCs/>
          <w:color w:val="3D5066"/>
          <w:sz w:val="20"/>
          <w:szCs w:val="20"/>
        </w:rPr>
        <w:t xml:space="preserve">Epistemological note: The physical analogies employed in this framework — thermodynamics, metallurgy, materials fatigue — are instruments of formal precision, not ontological claims. Socioeconomic systems are not metals. What physical science provides is a vocabulary for structural phenomena that social science has observed but not yet formalized: the accumulation of invisible damage, nonlinear amplification of friction, the distinction between flow and structure, and the asymmetric time scales at which different system layers evolve. The framework uses physics as a mirror — to see forms that already exist in social reality — not as a cage that reduces it.</w:t>
      </w:r>
    </w:p>
    <w:p>
      <w:pPr>
        <w:shd w:fill="F4F6F9" w:val="clear"/>
        <w:spacing w:after="200" w:before="140" w:line="340"/>
        <w:ind w:left="200" w:right="200"/>
        <w:jc w:val="both"/>
      </w:pPr>
      <w:r>
        <w:rPr>
          <w:rFonts w:ascii="Georgia" w:cs="Georgia" w:eastAsia="Georgia" w:hAnsi="Georgia"/>
          <w:color w:val="2D2D2D"/>
          <w:sz w:val="20"/>
          <w:szCs w:val="20"/>
        </w:rPr>
        <w:t xml:space="preserve">A companion policy simulator is proposed as the practical implementation of the framework — a non-ideological tool that evaluates any policy by its measurable structural consequences across time horizons invisible to conventional analysis. The simulator is designed not to tell decision-makers what to do, but to show them what will accumulate structurally if they do it.</w:t>
      </w:r>
    </w:p>
    <w:p>
      <w:pPr>
        <w:spacing w:after="160" w:before="160"/>
      </w:pPr>
      <w:r>
        <w:t xml:space="preserve"/>
      </w:r>
    </w:p>
    <w:p>
      <w:pPr>
        <w:spacing w:after="80"/>
        <w:ind w:left="200"/>
      </w:pPr>
      <w:r>
        <w:rPr>
          <w:rFonts w:ascii="Georgia" w:cs="Georgia" w:eastAsia="Georgia" w:hAnsi="Georgia"/>
          <w:b/>
          <w:bCs/>
          <w:color w:val="1B2A4A"/>
          <w:sz w:val="20"/>
          <w:szCs w:val="20"/>
        </w:rPr>
        <w:t xml:space="preserve">Keywords: </w:t>
      </w:r>
      <w:r>
        <w:rPr>
          <w:rFonts w:ascii="Georgia" w:cs="Georgia" w:eastAsia="Georgia" w:hAnsi="Georgia"/>
          <w:i/>
          <w:iCs/>
          <w:color w:val="2D2D2D"/>
          <w:sz w:val="20"/>
          <w:szCs w:val="20"/>
        </w:rPr>
        <w:t xml:space="preserve">structural resilience, accumulated fatigue, dissipative systems, institutional mechanics, socioeconomic dynamics, policy simulation, structural memory, non-equilibrium systems</w:t>
      </w:r>
    </w:p>
    <w:p>
      <w:pPr>
        <w:spacing w:after="400"/>
        <w:ind w:left="200"/>
      </w:pPr>
      <w:r>
        <w:rPr>
          <w:rFonts w:ascii="Georgia" w:cs="Georgia" w:eastAsia="Georgia" w:hAnsi="Georgia"/>
          <w:b/>
          <w:bCs/>
          <w:color w:val="1B2A4A"/>
          <w:sz w:val="20"/>
          <w:szCs w:val="20"/>
        </w:rPr>
        <w:t xml:space="preserve">JEL Classification: </w:t>
      </w:r>
      <w:r>
        <w:rPr>
          <w:rFonts w:ascii="Georgia" w:cs="Georgia" w:eastAsia="Georgia" w:hAnsi="Georgia"/>
          <w:color w:val="2D2D2D"/>
          <w:sz w:val="20"/>
          <w:szCs w:val="20"/>
        </w:rPr>
        <w:t xml:space="preserve">B41, C63, E02, O10, P16, Z10</w:t>
      </w:r>
    </w:p>
    <w:p>
      <w:pPr>
        <w:spacing w:after="60" w:before="200"/>
        <w:ind w:left="600" w:right="600"/>
        <w:jc w:val="center"/>
      </w:pPr>
      <w:r>
        <w:rPr>
          <w:rFonts w:ascii="Georgia" w:cs="Georgia" w:eastAsia="Georgia" w:hAnsi="Georgia"/>
          <w:i/>
          <w:iCs/>
          <w:color w:val="3D5066"/>
          <w:sz w:val="22"/>
          <w:szCs w:val="22"/>
        </w:rPr>
        <w:t xml:space="preserve">"All models are wrong. Some are useful. The question is whether their incompleteness has a structural cost — and whether that cost is visible before it becomes irreversible."</w:t>
      </w:r>
    </w:p>
    <w:p>
      <w:pPr>
        <w:spacing w:after="320" w:before="0"/>
        <w:jc w:val="center"/>
      </w:pPr>
      <w:r>
        <w:rPr>
          <w:rFonts w:ascii="Georgia" w:cs="Georgia" w:eastAsia="Georgia" w:hAnsi="Georgia"/>
          <w:color w:val="999999"/>
          <w:sz w:val="19"/>
          <w:szCs w:val="19"/>
        </w:rPr>
        <w:t xml:space="preserve">— Re_s Framework</w:t>
      </w:r>
    </w:p>
    <w:p>
      <w:pPr>
        <w:pBdr>
          <w:bottom w:val="single" w:color="C8922A" w:sz="5" w:space="4"/>
        </w:pBdr>
        <w:spacing w:after="180" w:before="600"/>
      </w:pPr>
      <w:r>
        <w:rPr>
          <w:rFonts w:ascii="Arial" w:cs="Arial" w:eastAsia="Arial" w:hAnsi="Arial"/>
          <w:b/>
          <w:bCs/>
          <w:color w:val="C8922A"/>
          <w:sz w:val="30"/>
          <w:szCs w:val="30"/>
        </w:rPr>
        <w:t xml:space="preserve">1.  </w:t>
      </w:r>
      <w:r>
        <w:rPr>
          <w:rFonts w:ascii="Arial" w:cs="Arial" w:eastAsia="Arial" w:hAnsi="Arial"/>
          <w:b/>
          <w:bCs/>
          <w:color w:val="1B2A4A"/>
          <w:sz w:val="30"/>
          <w:szCs w:val="30"/>
        </w:rPr>
        <w:t xml:space="preserve">THE PHENOMENOLOGY PROBLEM</w:t>
      </w:r>
    </w:p>
    <w:p>
      <w:pPr>
        <w:pBdr>
          <w:bottom w:val="single" w:color="2E5FA3" w:sz="6" w:space="1"/>
        </w:pBdr>
        <w:spacing w:after="80" w:before="80"/>
      </w:pPr>
      <w:r>
        <w:t xml:space="preserve"/>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major schools of economic thought have produced maps of extraordinary precision. They identify real regularities, generate mathematically rigorous predictions, and have shaped the institutional architecture of the modern world. This paper does not dispute any of that. What it proposes is a specific epistemological diagnosis: that these maps are phenomenological — they describe the surface of the terrain with great accuracy but lack a complete model of the geological structure beneath it.</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In the philosophy of science, a phenomenological theory describes observed regularities — correlations, functional relationships, predictive patterns — without modeling the generative mechanism that produces them. The ideal gas law, PV = nRT, is a phenomenological law: it predicts gas behavior with extraordinary precision without explaining why gases behave that way. Statistical mechanics, which derives the gas law from the collective behavior of molecules, is the structural theory beneath it. The phenomenological law remains valid; it simply becomes a special case of a deeper model.</w:t>
      </w:r>
    </w:p>
    <w:p>
      <w:pPr>
        <w:pBdr>
          <w:left w:val="single" w:color="2E5FA3" w:sz="14" w:space="20"/>
        </w:pBdr>
        <w:spacing w:after="240" w:before="240" w:line="340"/>
        <w:ind w:left="900" w:right="900"/>
        <w:jc w:val="both"/>
      </w:pPr>
      <w:r>
        <w:rPr>
          <w:rFonts w:ascii="Georgia" w:cs="Georgia" w:eastAsia="Georgia" w:hAnsi="Georgia"/>
          <w:i/>
          <w:iCs/>
          <w:color w:val="2E5FA3"/>
          <w:sz w:val="21"/>
          <w:szCs w:val="21"/>
        </w:rPr>
        <w:t xml:space="preserve">"A phenomenological theory is not wrong. It is a description of what happens at a given level of observation. A structural theory explains what generates it. The difference determines whether you can intervene in the mechanism — or only manage its symptoms."</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We propose that the major economic schools occupy a position analogous to the pre-statistical-mechanics gas law: each describes real and reproducible patterns, each has predictive power within its domain, and each can — we will demonstrate — be derived as a special case of the Re_s structural framework under specific parameter conditions.</w:t>
      </w:r>
    </w:p>
    <w:p>
      <w:pPr>
        <w:spacing w:after="80" w:before="80"/>
      </w:pPr>
      <w:r>
        <w:t xml:space="preserve"/>
      </w:r>
    </w:p>
    <w:p>
      <w:pPr>
        <w:spacing w:after="140" w:before="360"/>
      </w:pPr>
      <w:r>
        <w:rPr>
          <w:rFonts w:ascii="Arial" w:cs="Arial" w:eastAsia="Arial" w:hAnsi="Arial"/>
          <w:b/>
          <w:bCs/>
          <w:color w:val="2E5FA3"/>
          <w:sz w:val="24"/>
          <w:szCs w:val="24"/>
        </w:rPr>
        <w:t xml:space="preserve">1.1  </w:t>
      </w:r>
      <w:r>
        <w:rPr>
          <w:rFonts w:ascii="Arial" w:cs="Arial" w:eastAsia="Arial" w:hAnsi="Arial"/>
          <w:b/>
          <w:bCs/>
          <w:color w:val="1B2A4A"/>
          <w:sz w:val="24"/>
          <w:szCs w:val="24"/>
        </w:rPr>
        <w:t xml:space="preserve">Diagnostic Survey: What Each School Sees and Misses</w:t>
      </w:r>
    </w:p>
    <w:p>
      <w:pPr>
        <w:spacing w:after="60" w:before="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following table does not rank or critique the schools. It identifies which structural variables each systematically underweights — not because of theoretical error, but because those variables operate at temporal scales and structural depths outside each school's primary domain of observation.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000"/>
      </w:tblGrid>
      <w:tr>
        <w:trPr>
          <w:tblHeader/>
        </w:trPr>
        <w:tc>
          <w:tcPr>
            <w:tcW w:type="dxa" w:w="16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School</w:t>
            </w:r>
          </w:p>
        </w:tc>
        <w:tc>
          <w:tcPr>
            <w:tcW w:type="dxa" w:w="36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What it observes with precision</w:t>
            </w:r>
          </w:p>
        </w:tc>
        <w:tc>
          <w:tcPr>
            <w:tcW w:type="dxa" w:w="40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Structural variable systematically underweighted</w:t>
            </w:r>
          </w:p>
        </w:tc>
      </w:tr>
      <w:tr>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Neoclassical</w:t>
            </w:r>
          </w:p>
        </w:tc>
        <w:tc>
          <w:tcPr>
            <w:tcW w:type="dxa" w:w="3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Prices, incentives, allocative efficiency, equilibrium conditions</w:t>
            </w:r>
          </w:p>
        </w:tc>
        <w:tc>
          <w:tcPr>
            <w:tcW w:type="dxa" w:w="40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Accumulated fatigue (T), civilizational structural constraints on preference formation (M, H)</w:t>
            </w:r>
          </w:p>
        </w:tc>
      </w:tr>
      <w:tr>
        <w:tc>
          <w:tcPr>
            <w:tcW w:type="dxa" w:w="1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Keynesian</w:t>
            </w:r>
          </w:p>
        </w:tc>
        <w:tc>
          <w:tcPr>
            <w:tcW w:type="dxa" w:w="3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Aggregate demand, output gaps, short-run multipliers, liquidity dynamics</w:t>
            </w:r>
          </w:p>
        </w:tc>
        <w:tc>
          <w:tcPr>
            <w:tcW w:type="dxa" w:w="40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Institutional degradation under sustained intervention; φ accumulation as hidden cost of repeated stimulus</w:t>
            </w:r>
          </w:p>
        </w:tc>
      </w:tr>
      <w:tr>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Institutionalist</w:t>
            </w:r>
          </w:p>
        </w:tc>
        <w:tc>
          <w:tcPr>
            <w:tcW w:type="dxa" w:w="3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Rules, norms, path dependence, enforcement structures, transaction costs</w:t>
            </w:r>
          </w:p>
        </w:tc>
        <w:tc>
          <w:tcPr>
            <w:tcW w:type="dxa" w:w="40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Nonlinear friction amplification (φ²); how institutional degradation cascades once φ exceeds threshold</w:t>
            </w:r>
          </w:p>
        </w:tc>
      </w:tr>
      <w:tr>
        <w:tc>
          <w:tcPr>
            <w:tcW w:type="dxa" w:w="1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Marxist</w:t>
            </w:r>
          </w:p>
        </w:tc>
        <w:tc>
          <w:tcPr>
            <w:tcW w:type="dxa" w:w="3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Structural tension (Δ), capital contradictions, class dynamics, surplus extraction</w:t>
            </w:r>
          </w:p>
        </w:tc>
        <w:tc>
          <w:tcPr>
            <w:tcW w:type="dxa" w:w="40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Adaptive self-regulation; how systems sustain themselves through informal mechanisms while accumulating T</w:t>
            </w:r>
          </w:p>
        </w:tc>
      </w:tr>
      <w:tr>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Austrian</w:t>
            </w:r>
          </w:p>
        </w:tc>
        <w:tc>
          <w:tcPr>
            <w:tcW w:type="dxa" w:w="3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Spontaneous order, dispersed knowledge, entrepreneurial discovery, price signals</w:t>
            </w:r>
          </w:p>
        </w:tc>
        <w:tc>
          <w:tcPr>
            <w:tcW w:type="dxa" w:w="40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Structural costs of informal self-organization; T accumulation in self-regulating systems without formal repair</w:t>
            </w:r>
          </w:p>
        </w:tc>
      </w:tr>
      <w:tr>
        <w:tc>
          <w:tcPr>
            <w:tcW w:type="dxa" w:w="1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Complexity / Heterodox</w:t>
            </w:r>
          </w:p>
        </w:tc>
        <w:tc>
          <w:tcPr>
            <w:tcW w:type="dxa" w:w="3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Emergence, nonlinearity, feedback loops, far-from-equilibrium dynamics</w:t>
            </w:r>
          </w:p>
        </w:tc>
        <w:tc>
          <w:tcPr>
            <w:tcW w:type="dxa" w:w="40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Civilizational heritage as active structural variable (H); T as endogenous memory with asymmetric temporal dynamics</w:t>
            </w:r>
          </w:p>
        </w:tc>
      </w:tr>
    </w:tbl>
    <w:p>
      <w:pPr>
        <w:spacing w:after="80" w:before="80"/>
      </w:pPr>
      <w:r>
        <w:t xml:space="preserve"/>
      </w:r>
    </w:p>
    <w:p>
      <w:pPr>
        <w:spacing w:after="100" w:before="40"/>
        <w:ind w:left="300"/>
      </w:pPr>
      <w:r>
        <w:rPr>
          <w:rFonts w:ascii="Georgia" w:cs="Georgia" w:eastAsia="Georgia" w:hAnsi="Georgia"/>
          <w:i/>
          <w:iCs/>
          <w:color w:val="777777"/>
          <w:sz w:val="17"/>
          <w:szCs w:val="17"/>
        </w:rPr>
        <w:t xml:space="preserve">Table 1. The 'underweighted variable' column identifies systematic blind spots — not errors within each school's domain. Each school's results remain valid under the parameter conditions where the missing variables are negligible.</w:t>
      </w:r>
    </w:p>
    <w:p>
      <w:pPr>
        <w:spacing w:after="160" w:before="160"/>
      </w:pPr>
      <w:r>
        <w:t xml:space="preserve"/>
      </w:r>
    </w:p>
    <w:p>
      <w:pPr>
        <w:pBdr>
          <w:top w:val="single" w:color="1A6B3A" w:sz="2"/>
          <w:bottom w:val="single" w:color="1A6B3A" w:sz="2"/>
          <w:left w:val="single" w:color="1A6B3A" w:sz="12"/>
          <w:right w:val="single" w:color="1A6B3A" w:sz="2"/>
        </w:pBdr>
        <w:shd w:fill="EEF8F2" w:val="clear"/>
        <w:spacing w:after="160" w:before="160" w:line="340"/>
        <w:ind w:left="360" w:right="200"/>
      </w:pPr>
      <w:r>
        <w:rPr>
          <w:rFonts w:ascii="Arial" w:cs="Arial" w:eastAsia="Arial" w:hAnsi="Arial"/>
          <w:b/>
          <w:bCs/>
          <w:color w:val="1A6B3A"/>
          <w:sz w:val="22"/>
          <w:szCs w:val="22"/>
        </w:rPr>
        <w:t xml:space="preserve">✦  </w:t>
      </w:r>
      <w:r>
        <w:rPr>
          <w:rFonts w:ascii="Georgia" w:cs="Georgia" w:eastAsia="Georgia" w:hAnsi="Georgia"/>
          <w:color w:val="1A6B3A"/>
          <w:sz w:val="21"/>
          <w:szCs w:val="21"/>
        </w:rPr>
        <w:t xml:space="preserve">The pattern across Table 1 is not random. The variables each school underweights share a property: they operate across long time horizons and accumulate invisibly in short-run data. They are precisely the variables that determine whether a system that appears stable is structurally healthy or structurally deteriorating.</w:t>
      </w:r>
    </w:p>
    <w:p>
      <w:pPr>
        <w:spacing w:after="80" w:before="80"/>
      </w:pPr>
      <w:r>
        <w:t xml:space="preserve"/>
      </w:r>
    </w:p>
    <w:p>
      <w:pPr>
        <w:spacing w:after="140" w:before="360"/>
      </w:pPr>
      <w:r>
        <w:rPr>
          <w:rFonts w:ascii="Arial" w:cs="Arial" w:eastAsia="Arial" w:hAnsi="Arial"/>
          <w:b/>
          <w:bCs/>
          <w:color w:val="2E5FA3"/>
          <w:sz w:val="24"/>
          <w:szCs w:val="24"/>
        </w:rPr>
        <w:t xml:space="preserve">1.2  </w:t>
      </w:r>
      <w:r>
        <w:rPr>
          <w:rFonts w:ascii="Arial" w:cs="Arial" w:eastAsia="Arial" w:hAnsi="Arial"/>
          <w:b/>
          <w:bCs/>
          <w:color w:val="1B2A4A"/>
          <w:sz w:val="24"/>
          <w:szCs w:val="24"/>
        </w:rPr>
        <w:t xml:space="preserve">The Dissipative Tradition: Foundation and Limit</w:t>
      </w:r>
    </w:p>
    <w:p>
      <w:pPr>
        <w:spacing w:after="60" w:before="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most sophisticated prior attempt to model socioeconomic systems at the structural level comes from dissipative systems theory. Prigogine's central insight — that systems far from thermodynamic equilibrium spontaneously self-organize into ordered, energy-dissipating structures — was a genuine rupture with equilibrium economics. It established that order does not require equilibrium, that instability can be generative, and that bifurcation points exist at which small perturbations redirect entire system trajectories. The Re_s framework builds directly on these foundations.</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critical limitation of dissipative systems theory when applied to socioeconomic systems is that it models energy flows without adequately modeling structural deformation across time. A physical dissipative system — a convection cell, a chemical oscillator — dissipates energy but does not accumulate permanent structural damage in its medium. Socioeconomic systems do. They fatigue. They remember. They carry their history not merely as initial conditions but as active structural properties that modify their response to every subsequent perturbation.</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This is the Re_s framework's central departure from the dissipative tradition: the addition of T (accumulated structural fatigue) as a memory variable that makes the system's present response dependent on its entire past trajectory — not only its current state. A system that has endured repeated stress cycles without adequate recovery responds differently to new shocks than a structurally equivalent system encountering the same shock from rest — even if both systems appear identical by conventional indicators at the moment the shock arrives.</w:t>
      </w:r>
    </w:p>
    <w:p>
      <w:pPr>
        <w:pBdr>
          <w:left w:val="single" w:color="2E5FA3" w:sz="14" w:space="20"/>
        </w:pBdr>
        <w:spacing w:after="240" w:before="240" w:line="340"/>
        <w:ind w:left="900" w:right="900"/>
        <w:jc w:val="both"/>
      </w:pPr>
      <w:r>
        <w:rPr>
          <w:rFonts w:ascii="Georgia" w:cs="Georgia" w:eastAsia="Georgia" w:hAnsi="Georgia"/>
          <w:i/>
          <w:iCs/>
          <w:color w:val="2E5FA3"/>
          <w:sz w:val="21"/>
          <w:szCs w:val="21"/>
        </w:rPr>
        <w:t xml:space="preserve">"Dissipative systems theory shows how order emerges from flux. What it does not capture is how flux gradually destroys the capacity for order — invisibly, through micro-damage accumulation that produces macro-fracture only when the threshold is crossed. That is what structural fatigue adds to the dissipative framework."</w:t>
      </w:r>
    </w:p>
    <w:p>
      <w:pPr>
        <w:sectPr>
          <w:headerReference w:type="default" r:id="rId7"/>
          <w:footerReference w:type="default" r:id="rId8"/>
          <w:pgSz w:w="12240" w:h="15840" w:orient="portrait"/>
          <w:pgMar w:top="1440" w:right="1296" w:bottom="1440" w:left="1296" w:header="708" w:footer="708" w:gutter="0"/>
          <w:pgNumType/>
          <w:docGrid w:linePitch="360"/>
        </w:sectPr>
      </w:pPr>
    </w:p>
    <w:p>
      <w:pPr>
        <w:spacing w:after="60" w:before="200"/>
        <w:ind w:left="600" w:right="600"/>
        <w:jc w:val="center"/>
      </w:pPr>
      <w:r>
        <w:rPr>
          <w:rFonts w:ascii="Georgia" w:cs="Georgia" w:eastAsia="Georgia" w:hAnsi="Georgia"/>
          <w:i/>
          <w:iCs/>
          <w:color w:val="3D5066"/>
          <w:sz w:val="22"/>
          <w:szCs w:val="22"/>
        </w:rPr>
        <w:t xml:space="preserve">"The physics does not tell us what society is. It tells us what forms complexity takes — and those forms appear at every level of reality. We use physics as a mirror, not as a definition."</w:t>
      </w:r>
    </w:p>
    <w:p>
      <w:pPr>
        <w:spacing w:after="320" w:before="0"/>
        <w:jc w:val="center"/>
      </w:pPr>
      <w:r>
        <w:rPr>
          <w:rFonts w:ascii="Georgia" w:cs="Georgia" w:eastAsia="Georgia" w:hAnsi="Georgia"/>
          <w:color w:val="999999"/>
          <w:sz w:val="19"/>
          <w:szCs w:val="19"/>
        </w:rPr>
        <w:t xml:space="preserve">— Re_s Framework — Epistemological Position</w:t>
      </w:r>
    </w:p>
    <w:p>
      <w:pPr>
        <w:pBdr>
          <w:bottom w:val="single" w:color="C8922A" w:sz="5" w:space="4"/>
        </w:pBdr>
        <w:spacing w:after="180" w:before="600"/>
      </w:pPr>
      <w:r>
        <w:rPr>
          <w:rFonts w:ascii="Arial" w:cs="Arial" w:eastAsia="Arial" w:hAnsi="Arial"/>
          <w:b/>
          <w:bCs/>
          <w:color w:val="C8922A"/>
          <w:sz w:val="30"/>
          <w:szCs w:val="30"/>
        </w:rPr>
        <w:t xml:space="preserve">2.  </w:t>
      </w:r>
      <w:r>
        <w:rPr>
          <w:rFonts w:ascii="Arial" w:cs="Arial" w:eastAsia="Arial" w:hAnsi="Arial"/>
          <w:b/>
          <w:bCs/>
          <w:color w:val="1B2A4A"/>
          <w:sz w:val="30"/>
          <w:szCs w:val="30"/>
        </w:rPr>
        <w:t xml:space="preserve">A PHYSICAL TAXONOMY OF SOCIOECONOMIC STRUCTURE</w:t>
      </w:r>
    </w:p>
    <w:p>
      <w:pPr>
        <w:pBdr>
          <w:bottom w:val="single" w:color="2E5FA3" w:sz="6" w:space="1"/>
        </w:pBdr>
        <w:spacing w:after="80" w:before="80"/>
      </w:pPr>
      <w:r>
        <w:t xml:space="preserve"/>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Before formalizing the model, we must establish the ontological framework — the account of what kind of structural entity a socioeconomic system is. The Re_s framework proposes that socioeconomic systems exist simultaneously across multiple structural layers, each governed by different physical analogies, different temporal dynamics, and different rules of intervention.</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These layers are not metaphors chosen for rhetorical effect. They reflect a genuine structural observation: that the mechanisms governing daily economic flows are qualitatively different from those governing institutional change over decades, which are qualitatively different again from those governing civilizational transformation over centuries. Each layer requires different analytical instruments, and confusing the instruments is — we argue — the primary source of systematic policy failure.</w:t>
      </w:r>
    </w:p>
    <w:p>
      <w:pPr>
        <w:pBdr>
          <w:top w:val="single" w:color="2E5FA3" w:sz="2"/>
          <w:bottom w:val="single" w:color="2E5FA3" w:sz="2"/>
          <w:left w:val="single" w:color="2E5FA3" w:sz="12"/>
          <w:right w:val="single" w:color="2E5FA3" w:sz="2"/>
        </w:pBdr>
        <w:shd w:fill="EEF4FC" w:val="clear"/>
        <w:spacing w:after="160" w:before="160" w:line="340"/>
        <w:ind w:left="360" w:right="200"/>
      </w:pPr>
      <w:r>
        <w:rPr>
          <w:rFonts w:ascii="Arial" w:cs="Arial" w:eastAsia="Arial" w:hAnsi="Arial"/>
          <w:b/>
          <w:bCs/>
          <w:color w:val="2E5FA3"/>
          <w:sz w:val="22"/>
          <w:szCs w:val="22"/>
        </w:rPr>
        <w:t xml:space="preserve">◆  </w:t>
      </w:r>
      <w:r>
        <w:rPr>
          <w:rFonts w:ascii="Georgia" w:cs="Georgia" w:eastAsia="Georgia" w:hAnsi="Georgia"/>
          <w:color w:val="2E5FA3"/>
          <w:sz w:val="21"/>
          <w:szCs w:val="21"/>
        </w:rPr>
        <w:t xml:space="preserve">Methodological position: The physical analogy at each layer is an instrument of formal precision, not an ontological reduction. A civilizational structure is not literally a rock. What geology provides is a formal language for slow accumulation, irreversible layering, and threshold-release dynamics — phenomena that exist in social reality but for which social science has lacked precise vocabulary. The analogy is the vocabulary, not the claim.</w:t>
      </w:r>
    </w:p>
    <w:p>
      <w:pPr>
        <w:spacing w:after="100" w:before="100"/>
      </w:pPr>
      <w:r>
        <w:t xml:space="preserve"/>
      </w:r>
    </w:p>
    <w:p>
      <w:pPr>
        <w:spacing w:after="140" w:before="360"/>
      </w:pPr>
      <w:r>
        <w:rPr>
          <w:rFonts w:ascii="Arial" w:cs="Arial" w:eastAsia="Arial" w:hAnsi="Arial"/>
          <w:b/>
          <w:bCs/>
          <w:color w:val="2E5FA3"/>
          <w:sz w:val="24"/>
          <w:szCs w:val="24"/>
        </w:rPr>
        <w:t xml:space="preserve">2.1  </w:t>
      </w:r>
      <w:r>
        <w:rPr>
          <w:rFonts w:ascii="Arial" w:cs="Arial" w:eastAsia="Arial" w:hAnsi="Arial"/>
          <w:b/>
          <w:bCs/>
          <w:color w:val="1B2A4A"/>
          <w:sz w:val="24"/>
          <w:szCs w:val="24"/>
        </w:rPr>
        <w:t xml:space="preserve">The Five Structural Layers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800"/>
        <w:gridCol w:w="2400"/>
      </w:tblGrid>
      <w:tr>
        <w:trPr>
          <w:tblHeader/>
        </w:trPr>
        <w:tc>
          <w:tcPr>
            <w:tcW w:type="dxa" w:w="14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line="300"/>
            </w:pPr>
            <w:r>
              <w:rPr>
                <w:rFonts w:ascii="Arial" w:cs="Arial" w:eastAsia="Arial" w:hAnsi="Arial"/>
                <w:b/>
                <w:bCs/>
                <w:color w:val="FFFFFF"/>
                <w:sz w:val="17"/>
                <w:szCs w:val="17"/>
              </w:rPr>
              <w:t xml:space="preserve">Layer</w:t>
            </w:r>
          </w:p>
        </w:tc>
        <w:tc>
          <w:tcPr>
            <w:tcW w:type="dxa" w:w="16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line="300"/>
            </w:pPr>
            <w:r>
              <w:rPr>
                <w:rFonts w:ascii="Arial" w:cs="Arial" w:eastAsia="Arial" w:hAnsi="Arial"/>
                <w:b/>
                <w:bCs/>
                <w:color w:val="FFFFFF"/>
                <w:sz w:val="17"/>
                <w:szCs w:val="17"/>
              </w:rPr>
              <w:t xml:space="preserve">Physical Analogy</w:t>
            </w:r>
          </w:p>
        </w:tc>
        <w:tc>
          <w:tcPr>
            <w:tcW w:type="dxa" w:w="20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line="300"/>
            </w:pPr>
            <w:r>
              <w:rPr>
                <w:rFonts w:ascii="Arial" w:cs="Arial" w:eastAsia="Arial" w:hAnsi="Arial"/>
                <w:b/>
                <w:bCs/>
                <w:color w:val="FFFFFF"/>
                <w:sz w:val="17"/>
                <w:szCs w:val="17"/>
              </w:rPr>
              <w:t xml:space="preserve">Temporal Scale</w:t>
            </w:r>
          </w:p>
        </w:tc>
        <w:tc>
          <w:tcPr>
            <w:tcW w:type="dxa" w:w="18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line="300"/>
            </w:pPr>
            <w:r>
              <w:rPr>
                <w:rFonts w:ascii="Arial" w:cs="Arial" w:eastAsia="Arial" w:hAnsi="Arial"/>
                <w:b/>
                <w:bCs/>
                <w:color w:val="FFFFFF"/>
                <w:sz w:val="17"/>
                <w:szCs w:val="17"/>
              </w:rPr>
              <w:t xml:space="preserve">Social Domain</w:t>
            </w:r>
          </w:p>
        </w:tc>
        <w:tc>
          <w:tcPr>
            <w:tcW w:type="dxa" w:w="24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line="300"/>
            </w:pPr>
            <w:r>
              <w:rPr>
                <w:rFonts w:ascii="Arial" w:cs="Arial" w:eastAsia="Arial" w:hAnsi="Arial"/>
                <w:b/>
                <w:bCs/>
                <w:color w:val="FFFFFF"/>
                <w:sz w:val="17"/>
                <w:szCs w:val="17"/>
              </w:rPr>
              <w:t xml:space="preserve">Rule of Intervention</w:t>
            </w:r>
          </w:p>
        </w:tc>
      </w:tr>
      <w:tr>
        <w:tc>
          <w:tcPr>
            <w:tcW w:type="dxa" w:w="14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Arial" w:cs="Arial" w:eastAsia="Arial" w:hAnsi="Arial"/>
                <w:b/>
                <w:bCs/>
                <w:color w:val="1B2A4A"/>
                <w:sz w:val="18"/>
                <w:szCs w:val="18"/>
              </w:rPr>
              <w:t xml:space="preserve">I — Fluid</w:t>
            </w:r>
          </w:p>
        </w:tc>
        <w:tc>
          <w:tcPr>
            <w:tcW w:type="dxa" w:w="16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Arial" w:cs="Arial" w:eastAsia="Arial" w:hAnsi="Arial"/>
                <w:b w:val="false"/>
                <w:bCs w:val="false"/>
                <w:color w:val="2D2D2D"/>
                <w:sz w:val="19"/>
                <w:szCs w:val="19"/>
              </w:rPr>
              <w:t xml:space="preserve">Thermodynamics</w:t>
            </w:r>
          </w:p>
        </w:tc>
        <w:tc>
          <w:tcPr>
            <w:tcW w:type="dxa" w:w="20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Days → Years</w:t>
            </w:r>
          </w:p>
        </w:tc>
        <w:tc>
          <w:tcPr>
            <w:tcW w:type="dxa" w:w="18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Daily economic flows, prices, employment, public spending, consumption</w:t>
            </w:r>
          </w:p>
        </w:tc>
        <w:tc>
          <w:tcPr>
            <w:tcW w:type="dxa" w:w="24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Directly intervenible. Policy has immediate measurable effect.</w:t>
            </w:r>
          </w:p>
        </w:tc>
      </w:tr>
      <w:tr>
        <w:tc>
          <w:tcPr>
            <w:tcW w:type="dxa" w:w="14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Arial" w:cs="Arial" w:eastAsia="Arial" w:hAnsi="Arial"/>
                <w:b/>
                <w:bCs/>
                <w:color w:val="1B2A4A"/>
                <w:sz w:val="18"/>
                <w:szCs w:val="18"/>
              </w:rPr>
              <w:t xml:space="preserve">II — Material</w:t>
            </w:r>
          </w:p>
        </w:tc>
        <w:tc>
          <w:tcPr>
            <w:tcW w:type="dxa" w:w="16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Arial" w:cs="Arial" w:eastAsia="Arial" w:hAnsi="Arial"/>
                <w:b w:val="false"/>
                <w:bCs w:val="false"/>
                <w:color w:val="2D2D2D"/>
                <w:sz w:val="19"/>
                <w:szCs w:val="19"/>
              </w:rPr>
              <w:t xml:space="preserve">Metallurgy / Alloys</w:t>
            </w:r>
          </w:p>
        </w:tc>
        <w:tc>
          <w:tcPr>
            <w:tcW w:type="dxa" w:w="2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Decades</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Intentionally designed institutions: constitutions, state bureaucracies, central banks, legal frameworks</w:t>
            </w:r>
          </w:p>
        </w:tc>
        <w:tc>
          <w:tcPr>
            <w:tcW w:type="dxa" w:w="24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Not directly intervenible. Changes require sustained energy input over years to decades.</w:t>
            </w:r>
          </w:p>
        </w:tc>
      </w:tr>
      <w:tr>
        <w:tc>
          <w:tcPr>
            <w:tcW w:type="dxa" w:w="14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Arial" w:cs="Arial" w:eastAsia="Arial" w:hAnsi="Arial"/>
                <w:b/>
                <w:bCs/>
                <w:color w:val="1B2A4A"/>
                <w:sz w:val="18"/>
                <w:szCs w:val="18"/>
              </w:rPr>
              <w:t xml:space="preserve">III — Geological</w:t>
            </w:r>
          </w:p>
        </w:tc>
        <w:tc>
          <w:tcPr>
            <w:tcW w:type="dxa" w:w="16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Arial" w:cs="Arial" w:eastAsia="Arial" w:hAnsi="Arial"/>
                <w:b w:val="false"/>
                <w:bCs w:val="false"/>
                <w:color w:val="2D2D2D"/>
                <w:sz w:val="19"/>
                <w:szCs w:val="19"/>
              </w:rPr>
              <w:t xml:space="preserve">Stratigraphy / Metamorphism</w:t>
            </w:r>
          </w:p>
        </w:tc>
        <w:tc>
          <w:tcPr>
            <w:tcW w:type="dxa" w:w="20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Centuries</w:t>
            </w:r>
          </w:p>
        </w:tc>
        <w:tc>
          <w:tcPr>
            <w:tcW w:type="dxa" w:w="18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Civilizations of long duration: deep cultural dispositions, religious structures, ethnic identities, social capital networks</w:t>
            </w:r>
          </w:p>
        </w:tc>
        <w:tc>
          <w:tcPr>
            <w:tcW w:type="dxa" w:w="24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Diagnosis and trajectory reading. Direct intervention almost impossible; energy input reshapes very slowly.</w:t>
            </w:r>
          </w:p>
        </w:tc>
      </w:tr>
      <w:tr>
        <w:tc>
          <w:tcPr>
            <w:tcW w:type="dxa" w:w="14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Arial" w:cs="Arial" w:eastAsia="Arial" w:hAnsi="Arial"/>
                <w:b/>
                <w:bCs/>
                <w:color w:val="1B2A4A"/>
                <w:sz w:val="18"/>
                <w:szCs w:val="18"/>
              </w:rPr>
              <w:t xml:space="preserve">IV — Tectonic</w:t>
            </w:r>
          </w:p>
        </w:tc>
        <w:tc>
          <w:tcPr>
            <w:tcW w:type="dxa" w:w="16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Arial" w:cs="Arial" w:eastAsia="Arial" w:hAnsi="Arial"/>
                <w:b w:val="false"/>
                <w:bCs w:val="false"/>
                <w:color w:val="2D2D2D"/>
                <w:sz w:val="19"/>
                <w:szCs w:val="19"/>
              </w:rPr>
              <w:t xml:space="preserve">Plate tectonics</w:t>
            </w:r>
          </w:p>
        </w:tc>
        <w:tc>
          <w:tcPr>
            <w:tcW w:type="dxa" w:w="20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Millennia</w:t>
            </w:r>
          </w:p>
        </w:tc>
        <w:tc>
          <w:tcPr>
            <w:tcW w:type="dxa" w:w="18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Civilizational collisions: structural encounters between distinct civilizational masses</w:t>
            </w:r>
          </w:p>
        </w:tc>
        <w:tc>
          <w:tcPr>
            <w:tcW w:type="dxa" w:w="2400"/>
            <w:tcBorders>
              <w:top w:val="single" w:color="D0D7E3" w:sz="1"/>
              <w:left w:val="single" w:color="D0D7E3" w:sz="1"/>
              <w:bottom w:val="single" w:color="D0D7E3" w:sz="1"/>
              <w:right w:val="single" w:color="D0D7E3" w:sz="1"/>
            </w:tcBorders>
            <w:shd w:fill="FFFFFF"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Long-run structural prediction only. No policy instrument operates at this scale within a single decision-maker's horizon.</w:t>
            </w:r>
          </w:p>
        </w:tc>
      </w:tr>
      <w:tr>
        <w:tc>
          <w:tcPr>
            <w:tcW w:type="dxa" w:w="14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Arial" w:cs="Arial" w:eastAsia="Arial" w:hAnsi="Arial"/>
                <w:b/>
                <w:bCs/>
                <w:color w:val="1B2A4A"/>
                <w:sz w:val="18"/>
                <w:szCs w:val="18"/>
              </w:rPr>
              <w:t xml:space="preserve">V — Nuclear</w:t>
            </w:r>
          </w:p>
        </w:tc>
        <w:tc>
          <w:tcPr>
            <w:tcW w:type="dxa" w:w="16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Arial" w:cs="Arial" w:eastAsia="Arial" w:hAnsi="Arial"/>
                <w:b w:val="false"/>
                <w:bCs w:val="false"/>
                <w:color w:val="2D2D2D"/>
                <w:sz w:val="19"/>
                <w:szCs w:val="19"/>
              </w:rPr>
              <w:t xml:space="preserve">Radioactive decay</w:t>
            </w:r>
          </w:p>
        </w:tc>
        <w:tc>
          <w:tcPr>
            <w:tcW w:type="dxa" w:w="20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Autonomous</w:t>
            </w:r>
          </w:p>
        </w:tc>
        <w:tc>
          <w:tcPr>
            <w:tcW w:type="dxa" w:w="18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Processes that, once initiated, follow internal dynamics regardless of external conditions: certain forms of institutional collapse, trust implosion, radicalization past threshold</w:t>
            </w:r>
          </w:p>
        </w:tc>
        <w:tc>
          <w:tcPr>
            <w:tcW w:type="dxa" w:w="2400"/>
            <w:tcBorders>
              <w:top w:val="single" w:color="D0D7E3" w:sz="1"/>
              <w:left w:val="single" w:color="D0D7E3" w:sz="1"/>
              <w:bottom w:val="single" w:color="D0D7E3" w:sz="1"/>
              <w:right w:val="single" w:color="D0D7E3" w:sz="1"/>
            </w:tcBorders>
            <w:shd w:fill="F4F6F9" w:val="clear"/>
            <w:tcMar>
              <w:top w:type="dxa" w:w="80"/>
              <w:left w:type="dxa" w:w="140"/>
              <w:bottom w:type="dxa" w:w="80"/>
              <w:right w:type="dxa" w:w="140"/>
            </w:tcMar>
          </w:tcPr>
          <w:p>
            <w:pPr>
              <w:spacing w:line="300"/>
            </w:pPr>
            <w:r>
              <w:rPr>
                <w:rFonts w:ascii="Georgia" w:cs="Georgia" w:eastAsia="Georgia" w:hAnsi="Georgia"/>
                <w:b w:val="false"/>
                <w:bCs w:val="false"/>
                <w:color w:val="2D2D2D"/>
                <w:sz w:val="19"/>
                <w:szCs w:val="19"/>
              </w:rPr>
              <w:t xml:space="preserve">Not intervenible by conventional policy. Energy of activation was the only intervention point — before initiation.</w:t>
            </w:r>
          </w:p>
        </w:tc>
      </w:tr>
    </w:tbl>
    <w:p>
      <w:pPr>
        <w:spacing w:after="80" w:before="80"/>
      </w:pPr>
      <w:r>
        <w:t xml:space="preserve"/>
      </w:r>
    </w:p>
    <w:p>
      <w:pPr>
        <w:spacing w:after="100" w:before="40"/>
        <w:ind w:left="300"/>
      </w:pPr>
      <w:r>
        <w:rPr>
          <w:rFonts w:ascii="Georgia" w:cs="Georgia" w:eastAsia="Georgia" w:hAnsi="Georgia"/>
          <w:i/>
          <w:iCs/>
          <w:color w:val="777777"/>
          <w:sz w:val="17"/>
          <w:szCs w:val="17"/>
        </w:rPr>
        <w:t xml:space="preserve">Table 2. The five structural layers of the Re_s framework. Each layer requires different analytical instruments. Most policy failure arises from applying Layer I instruments (fluid tools) to Layer II or III problems (structural matter).</w:t>
      </w:r>
    </w:p>
    <w:p>
      <w:pPr>
        <w:spacing w:after="160" w:before="1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most consequential theoretical implication of this taxonomy concerns the relationship between layers. The fluid layer (Layer I) is where policy operates. But fluid flows accumulate in the material layer (Layer II): sustained flows in one direction reshape institutional structure over time, as water reshapes rock. This asymmetry — fluid intervention, material consequence — is the mechanism the Re_s simulator is designed to make visible.</w:t>
      </w:r>
    </w:p>
    <w:p>
      <w:pPr>
        <w:spacing w:after="80" w:before="80"/>
      </w:pPr>
      <w:r>
        <w:t xml:space="preserve"/>
      </w:r>
    </w:p>
    <w:p>
      <w:pPr>
        <w:spacing w:after="140" w:before="360"/>
      </w:pPr>
      <w:r>
        <w:rPr>
          <w:rFonts w:ascii="Arial" w:cs="Arial" w:eastAsia="Arial" w:hAnsi="Arial"/>
          <w:b/>
          <w:bCs/>
          <w:color w:val="2E5FA3"/>
          <w:sz w:val="24"/>
          <w:szCs w:val="24"/>
        </w:rPr>
        <w:t xml:space="preserve">2.2  </w:t>
      </w:r>
      <w:r>
        <w:rPr>
          <w:rFonts w:ascii="Arial" w:cs="Arial" w:eastAsia="Arial" w:hAnsi="Arial"/>
          <w:b/>
          <w:bCs/>
          <w:color w:val="1B2A4A"/>
          <w:sz w:val="24"/>
          <w:szCs w:val="24"/>
        </w:rPr>
        <w:t xml:space="preserve">The Fundamental Principle: Energy and Matter</w:t>
      </w:r>
    </w:p>
    <w:p>
      <w:pPr>
        <w:spacing w:after="60" w:before="60"/>
      </w:pPr>
      <w:r>
        <w:t xml:space="preserve"/>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Core Principle:  </w:t>
      </w:r>
      <w:r>
        <w:rPr>
          <w:rFonts w:ascii="Georgia" w:cs="Georgia" w:eastAsia="Georgia" w:hAnsi="Georgia"/>
          <w:color w:val="2D2D2D"/>
          <w:sz w:val="21"/>
          <w:szCs w:val="21"/>
        </w:rPr>
        <w:t xml:space="preserve">To modify matter, you need energy. Well-directed energy transforms structural matter. Poorly directed energy destroys structure and accumulates fatigue without transformation. The question is never whether to apply energy — it is what type, at what scale, directed where.</w:t>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This principle, drawn from materials science, has a precise social translation. A reform is energy applied to institutional structure. Whether it transforms or fractures depends not on its intent but on the structural state of the receiving system — specifically, on its current μ (institutional cohesion), T (accumulated fatigue), and M (internal microstructure). The same reform applied to a high-μ, low-T system and a low-μ, high-T system produces qualitatively different structural outcomes.</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Historical illustration: Germany and Japan after 1945 received extreme energy — total military defeat, institutional destruction, occupation. The structural outcome was transformation, not permanent fracture, because both systems possessed sufficient civilizational heritage (Layer III) and social cohesion to allow recrystallization around new institutional architecture. Iraq after 2003 received comparable energy. The structural outcome was fracture without reorganization, because the receiving system's M was fragmented and its H was insufficient to provide recrystallization substrate. The difference was not the energy magnitude — it was the structural properties of the receiving material.</w:t>
      </w:r>
    </w:p>
    <w:p>
      <w:pPr>
        <w:pBdr>
          <w:top w:val="single" w:color="1A6B3A" w:sz="2"/>
          <w:bottom w:val="single" w:color="1A6B3A" w:sz="2"/>
          <w:left w:val="single" w:color="1A6B3A" w:sz="12"/>
          <w:right w:val="single" w:color="1A6B3A" w:sz="2"/>
        </w:pBdr>
        <w:shd w:fill="EEF8F2" w:val="clear"/>
        <w:spacing w:after="160" w:before="160" w:line="340"/>
        <w:ind w:left="360" w:right="200"/>
      </w:pPr>
      <w:r>
        <w:rPr>
          <w:rFonts w:ascii="Arial" w:cs="Arial" w:eastAsia="Arial" w:hAnsi="Arial"/>
          <w:b/>
          <w:bCs/>
          <w:color w:val="1A6B3A"/>
          <w:sz w:val="22"/>
          <w:szCs w:val="22"/>
        </w:rPr>
        <w:t xml:space="preserve">✦  </w:t>
      </w:r>
      <w:r>
        <w:rPr>
          <w:rFonts w:ascii="Georgia" w:cs="Georgia" w:eastAsia="Georgia" w:hAnsi="Georgia"/>
          <w:color w:val="1A6B3A"/>
          <w:sz w:val="21"/>
          <w:szCs w:val="21"/>
        </w:rPr>
        <w:t xml:space="preserve">This is the Re_s framework's answer to the most persistent question in development economics: why do identical interventions produce radically different outcomes in different contexts? Because the structural state of the receiving system — its M, T, μ, and H — determines what the energy does to it. Intervention design without structural diagnosis is energy application without material knowledge.</w:t>
      </w:r>
    </w:p>
    <w:p>
      <w:pPr>
        <w:spacing w:after="80" w:before="80"/>
      </w:pPr>
      <w:r>
        <w:t xml:space="preserve"/>
      </w:r>
    </w:p>
    <w:p>
      <w:pPr>
        <w:spacing w:after="140" w:before="360"/>
      </w:pPr>
      <w:r>
        <w:rPr>
          <w:rFonts w:ascii="Arial" w:cs="Arial" w:eastAsia="Arial" w:hAnsi="Arial"/>
          <w:b/>
          <w:bCs/>
          <w:color w:val="2E5FA3"/>
          <w:sz w:val="24"/>
          <w:szCs w:val="24"/>
        </w:rPr>
        <w:t xml:space="preserve">2.3  </w:t>
      </w:r>
      <w:r>
        <w:rPr>
          <w:rFonts w:ascii="Arial" w:cs="Arial" w:eastAsia="Arial" w:hAnsi="Arial"/>
          <w:b/>
          <w:bCs/>
          <w:color w:val="1B2A4A"/>
          <w:sz w:val="24"/>
          <w:szCs w:val="24"/>
        </w:rPr>
        <w:t xml:space="preserve">The Simulator's Domain: Where Intervention Is Possible</w:t>
      </w:r>
    </w:p>
    <w:p>
      <w:pPr>
        <w:spacing w:after="60" w:before="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five-layer taxonomy defines precisely the domain in which the Re_s policy simulator operates. The simulator models Layer I (fluid) interventions and their accumulating consequences in Layer II (material). It does not model Layer III–V dynamics as intervenible — because they are not, within any policy-maker's operational horizon.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rPr>
          <w:tblHeader/>
        </w:trPr>
        <w:tc>
          <w:tcPr>
            <w:tcW w:type="dxa" w:w="28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What the simulator models</w:t>
            </w:r>
          </w:p>
        </w:tc>
        <w:tc>
          <w:tcPr>
            <w:tcW w:type="dxa" w:w="28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What it does not model</w:t>
            </w:r>
          </w:p>
        </w:tc>
        <w:tc>
          <w:tcPr>
            <w:tcW w:type="dxa" w:w="36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Why the boundary matters</w:t>
            </w:r>
          </w:p>
        </w:tc>
      </w:tr>
      <w:tr>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Effects of policy decisions on Δ, ν, μ, φ, M, T across 5–20 year horizons</w:t>
            </w:r>
          </w:p>
        </w:tc>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Civilizational trajectory (Layer III–IV)</w:t>
            </w:r>
          </w:p>
        </w:tc>
        <w:tc>
          <w:tcPr>
            <w:tcW w:type="dxa" w:w="3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Prevents false precision; avoids the error of applying fluid instruments to tectonic problems</w:t>
            </w:r>
          </w:p>
        </w:tc>
      </w:tr>
      <w:tr>
        <w:tc>
          <w:tcPr>
            <w:tcW w:type="dxa" w:w="2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How fluid interventions accumulate as structural change in Layer II</w:t>
            </w:r>
          </w:p>
        </w:tc>
        <w:tc>
          <w:tcPr>
            <w:tcW w:type="dxa" w:w="2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Exact timing of structural threshold crossing</w:t>
            </w:r>
          </w:p>
        </w:tc>
        <w:tc>
          <w:tcPr>
            <w:tcW w:type="dxa" w:w="3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T accumulation is measurable; the triggering event is not predictable</w:t>
            </w:r>
          </w:p>
        </w:tc>
      </w:tr>
      <w:tr>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Nonlinear consequences of φ amplification and T multiplication</w:t>
            </w:r>
          </w:p>
        </w:tc>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Individual agent behavior and recursive adaptation</w:t>
            </w:r>
          </w:p>
        </w:tc>
        <w:tc>
          <w:tcPr>
            <w:tcW w:type="dxa" w:w="3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The system level is where structural policy operates; agent-level modeling is a separate module</w:t>
            </w:r>
          </w:p>
        </w:tc>
      </w:tr>
      <w:tr>
        <w:tc>
          <w:tcPr>
            <w:tcW w:type="dxa" w:w="2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Comparative structural diagnostics across countries and time periods</w:t>
            </w:r>
          </w:p>
        </w:tc>
        <w:tc>
          <w:tcPr>
            <w:tcW w:type="dxa" w:w="2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Normative prescription of which policy is 'correct'</w:t>
            </w:r>
          </w:p>
        </w:tc>
        <w:tc>
          <w:tcPr>
            <w:tcW w:type="dxa" w:w="3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The simulator evaluates structural consequences; value judgments about tradeoffs remain with the decision-maker</w:t>
            </w:r>
          </w:p>
        </w:tc>
      </w:tr>
    </w:tbl>
    <w:p>
      <w:pPr>
        <w:spacing w:after="80" w:before="80"/>
      </w:pPr>
      <w:r>
        <w:t xml:space="preserve"/>
      </w:r>
    </w:p>
    <w:p>
      <w:pPr>
        <w:spacing w:after="100" w:before="40"/>
        <w:ind w:left="300"/>
      </w:pPr>
      <w:r>
        <w:rPr>
          <w:rFonts w:ascii="Georgia" w:cs="Georgia" w:eastAsia="Georgia" w:hAnsi="Georgia"/>
          <w:i/>
          <w:iCs/>
          <w:color w:val="777777"/>
          <w:sz w:val="17"/>
          <w:szCs w:val="17"/>
        </w:rPr>
        <w:t xml:space="preserve">Table 3. Scope boundaries of the Re_s policy simulator. Clarity about what the framework does and does not model is an epistemological commitment, not a limitation to be apologized for.</w:t>
      </w:r>
    </w:p>
    <w:p>
      <w:pPr>
        <w:spacing w:after="60" w:before="200"/>
        <w:ind w:left="600" w:right="600"/>
        <w:jc w:val="center"/>
      </w:pPr>
      <w:r>
        <w:rPr>
          <w:rFonts w:ascii="Georgia" w:cs="Georgia" w:eastAsia="Georgia" w:hAnsi="Georgia"/>
          <w:i/>
          <w:iCs/>
          <w:color w:val="3D5066"/>
          <w:sz w:val="22"/>
          <w:szCs w:val="22"/>
        </w:rPr>
        <w:t xml:space="preserve">"The formula does not predict the future. It measures what is accumulating invisibly in the present — and shows what will be inevitable if nothing changes."</w:t>
      </w:r>
    </w:p>
    <w:p>
      <w:pPr>
        <w:spacing w:after="320" w:before="0"/>
        <w:jc w:val="center"/>
      </w:pPr>
      <w:r>
        <w:rPr>
          <w:rFonts w:ascii="Georgia" w:cs="Georgia" w:eastAsia="Georgia" w:hAnsi="Georgia"/>
          <w:color w:val="999999"/>
          <w:sz w:val="19"/>
          <w:szCs w:val="19"/>
        </w:rPr>
        <w:t xml:space="preserve">— Re_s Framework — Design Principle</w:t>
      </w:r>
    </w:p>
    <w:p>
      <w:pPr>
        <w:pBdr>
          <w:bottom w:val="single" w:color="C8922A" w:sz="5" w:space="4"/>
        </w:pBdr>
        <w:spacing w:after="180" w:before="600"/>
      </w:pPr>
      <w:r>
        <w:rPr>
          <w:rFonts w:ascii="Arial" w:cs="Arial" w:eastAsia="Arial" w:hAnsi="Arial"/>
          <w:b/>
          <w:bCs/>
          <w:color w:val="C8922A"/>
          <w:sz w:val="30"/>
          <w:szCs w:val="30"/>
        </w:rPr>
        <w:t xml:space="preserve">3.  </w:t>
      </w:r>
      <w:r>
        <w:rPr>
          <w:rFonts w:ascii="Arial" w:cs="Arial" w:eastAsia="Arial" w:hAnsi="Arial"/>
          <w:b/>
          <w:bCs/>
          <w:color w:val="1B2A4A"/>
          <w:sz w:val="30"/>
          <w:szCs w:val="30"/>
        </w:rPr>
        <w:t xml:space="preserve">THE RE_S FORMAL MODEL</w:t>
      </w:r>
    </w:p>
    <w:p>
      <w:pPr>
        <w:pBdr>
          <w:bottom w:val="single" w:color="2E5FA3" w:sz="6" w:space="1"/>
        </w:pBdr>
        <w:spacing w:after="80" w:before="80"/>
      </w:pPr>
      <w:r>
        <w:t xml:space="preserve"/>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We now develop the formal architecture of the Re_s model. Each variable is derived from theoretical first principles, specified with its interaction structure, and operationalized with existing data sources. We proceed from foundational axioms through variable definition to the complete equation and its structural interpretation.</w:t>
      </w:r>
    </w:p>
    <w:p>
      <w:pPr>
        <w:spacing w:after="80" w:before="80"/>
      </w:pPr>
      <w:r>
        <w:t xml:space="preserve"/>
      </w:r>
    </w:p>
    <w:p>
      <w:pPr>
        <w:spacing w:after="140" w:before="360"/>
      </w:pPr>
      <w:r>
        <w:rPr>
          <w:rFonts w:ascii="Arial" w:cs="Arial" w:eastAsia="Arial" w:hAnsi="Arial"/>
          <w:b/>
          <w:bCs/>
          <w:color w:val="2E5FA3"/>
          <w:sz w:val="24"/>
          <w:szCs w:val="24"/>
        </w:rPr>
        <w:t xml:space="preserve">3.1  </w:t>
      </w:r>
      <w:r>
        <w:rPr>
          <w:rFonts w:ascii="Arial" w:cs="Arial" w:eastAsia="Arial" w:hAnsi="Arial"/>
          <w:b/>
          <w:bCs/>
          <w:color w:val="1B2A4A"/>
          <w:sz w:val="24"/>
          <w:szCs w:val="24"/>
        </w:rPr>
        <w:t xml:space="preserve">Three Foundational Axioms</w:t>
      </w:r>
    </w:p>
    <w:p>
      <w:pPr>
        <w:spacing w:after="60" w:before="60"/>
      </w:pPr>
      <w:r>
        <w:t xml:space="preserve"/>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Axiom 1 — Structural Memory:  </w:t>
      </w:r>
      <w:r>
        <w:rPr>
          <w:rFonts w:ascii="Georgia" w:cs="Georgia" w:eastAsia="Georgia" w:hAnsi="Georgia"/>
          <w:color w:val="2D2D2D"/>
          <w:sz w:val="21"/>
          <w:szCs w:val="21"/>
        </w:rPr>
        <w:t xml:space="preserve">The current state of a socioeconomic system is not fully described by its present observable variables. Its history of stress, deformation, and recovery is encoded in its structure and actively shapes its future responses. This is not path dependence in the weak sense — it is the claim that structural memory is a real, measurable property of the system at every moment, captured by the variable T.</w:t>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Axiom 2 — Nonlinear Friction Amplification:  </w:t>
      </w:r>
      <w:r>
        <w:rPr>
          <w:rFonts w:ascii="Georgia" w:cs="Georgia" w:eastAsia="Georgia" w:hAnsi="Georgia"/>
          <w:color w:val="2D2D2D"/>
          <w:sz w:val="21"/>
          <w:szCs w:val="21"/>
        </w:rPr>
        <w:t xml:space="preserve">Friction (φ) does not degrade system performance linearly. Above a threshold, it becomes a self-amplifying mechanism: corruption erodes the institutional capacity designed to manage corruption; informality expands the space in which further informality is rational; institutional opacity generates the conditions for further opacity. This positive feedback loop is captured by the φ² term in the central equation.</w:t>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Axiom 3 — Multi-scale Temporal Asymmetry:  </w:t>
      </w:r>
      <w:r>
        <w:rPr>
          <w:rFonts w:ascii="Georgia" w:cs="Georgia" w:eastAsia="Georgia" w:hAnsi="Georgia"/>
          <w:color w:val="2D2D2D"/>
          <w:sz w:val="21"/>
          <w:szCs w:val="21"/>
        </w:rPr>
        <w:t xml:space="preserve">Socioeconomic system dynamics operate simultaneously at multiple temporal scales — fluid (months to years), material (decades), geological (centuries). The variables that dominate at each scale are qualitatively different. Interventions at one scale regularly produce unintended consequences at another. A complete structural model must account for all scales and their interactions.</w:t>
      </w:r>
    </w:p>
    <w:p>
      <w:pPr>
        <w:spacing w:after="100" w:before="100"/>
      </w:pPr>
      <w:r>
        <w:t xml:space="preserve"/>
      </w:r>
    </w:p>
    <w:p>
      <w:pPr>
        <w:spacing w:after="140" w:before="360"/>
      </w:pPr>
      <w:r>
        <w:rPr>
          <w:rFonts w:ascii="Arial" w:cs="Arial" w:eastAsia="Arial" w:hAnsi="Arial"/>
          <w:b/>
          <w:bCs/>
          <w:color w:val="2E5FA3"/>
          <w:sz w:val="24"/>
          <w:szCs w:val="24"/>
        </w:rPr>
        <w:t xml:space="preserve">3.2  </w:t>
      </w:r>
      <w:r>
        <w:rPr>
          <w:rFonts w:ascii="Arial" w:cs="Arial" w:eastAsia="Arial" w:hAnsi="Arial"/>
          <w:b/>
          <w:bCs/>
          <w:color w:val="1B2A4A"/>
          <w:sz w:val="24"/>
          <w:szCs w:val="24"/>
        </w:rPr>
        <w:t xml:space="preserve">The Central Equation</w:t>
      </w:r>
    </w:p>
    <w:p>
      <w:pPr>
        <w:spacing w:after="60" w:before="60"/>
      </w:pPr>
      <w:r>
        <w:t xml:space="preserve"/>
      </w:r>
    </w:p>
    <w:p>
      <w:pPr>
        <w:shd w:fill="1B2A4A" w:val="clear"/>
        <w:spacing w:after="0" w:before="0"/>
        <w:ind w:left="200" w:right="200"/>
        <w:jc w:val="center"/>
      </w:pPr>
      <w:r>
        <w:rPr>
          <w:rFonts w:ascii="Arial" w:cs="Arial" w:eastAsia="Arial" w:hAnsi="Arial"/>
          <w:b/>
          <w:bCs/>
          <w:color w:val="FFFFFF"/>
          <w:sz w:val="20"/>
          <w:szCs w:val="20"/>
        </w:rPr>
        <w:t xml:space="preserve">THE Re_s STRUCTURAL EQUATION</w:t>
      </w:r>
    </w:p>
    <w:p>
      <w:pPr>
        <w:pBdr>
          <w:left w:val="single" w:color="C8922A" w:sz="14"/>
          <w:right w:val="single" w:color="C8922A" w:sz="14"/>
        </w:pBdr>
        <w:shd w:fill="0D1B30" w:val="clear"/>
        <w:spacing w:after="280" w:before="280"/>
        <w:ind w:left="200" w:right="200"/>
        <w:jc w:val="center"/>
      </w:pPr>
      <w:r>
        <w:rPr>
          <w:rFonts w:ascii="Courier New" w:cs="Courier New" w:eastAsia="Courier New" w:hAnsi="Courier New"/>
          <w:b/>
          <w:bCs/>
          <w:color w:val="C8922A"/>
          <w:sz w:val="36"/>
          <w:szCs w:val="36"/>
        </w:rPr>
        <w:t xml:space="preserve">Re_s  =  [ (Δ · ν) / μ ]  ·  M  ·  (1 + φ²)  ·  T</w:t>
      </w:r>
    </w:p>
    <w:p>
      <w:pPr>
        <w:shd w:fill="1B2A4A" w:val="clear"/>
        <w:spacing w:after="200" w:before="0"/>
        <w:ind w:left="200" w:right="200"/>
        <w:jc w:val="center"/>
      </w:pPr>
      <w:r>
        <w:rPr>
          <w:rFonts w:ascii="Georgia" w:cs="Georgia" w:eastAsia="Georgia" w:hAnsi="Georgia"/>
          <w:i/>
          <w:iCs/>
          <w:color w:val="888888"/>
          <w:sz w:val="19"/>
          <w:szCs w:val="19"/>
        </w:rPr>
        <w:t xml:space="preserve">Eq. (3.1) — The Structural Resilience Index</w:t>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Re_s measures the structural stress load on the system relative to its capacity to absorb it. Higher Re_s indicates greater structural fragility and systemic risk. Lower Re_s indicates greater resilience. The index is a structural diagnosis — a reading of the system's current state and accumulated trajectory — not a prediction of any specific event.</w:t>
      </w:r>
    </w:p>
    <w:p>
      <w:pPr>
        <w:spacing w:after="80" w:before="80"/>
      </w:pPr>
      <w:r>
        <w:t xml:space="preserve"/>
      </w:r>
    </w:p>
    <w:p>
      <w:pPr>
        <w:spacing w:after="140" w:before="360"/>
      </w:pPr>
      <w:r>
        <w:rPr>
          <w:rFonts w:ascii="Arial" w:cs="Arial" w:eastAsia="Arial" w:hAnsi="Arial"/>
          <w:b/>
          <w:bCs/>
          <w:color w:val="2E5FA3"/>
          <w:sz w:val="24"/>
          <w:szCs w:val="24"/>
        </w:rPr>
        <w:t xml:space="preserve">3.3  </w:t>
      </w:r>
      <w:r>
        <w:rPr>
          <w:rFonts w:ascii="Arial" w:cs="Arial" w:eastAsia="Arial" w:hAnsi="Arial"/>
          <w:b/>
          <w:bCs/>
          <w:color w:val="1B2A4A"/>
          <w:sz w:val="24"/>
          <w:szCs w:val="24"/>
        </w:rPr>
        <w:t xml:space="preserve">The Five Primary Variables</w:t>
      </w:r>
    </w:p>
    <w:p>
      <w:pPr>
        <w:spacing w:after="60" w:before="60"/>
      </w:pPr>
      <w:r>
        <w:t xml:space="preserve"/>
      </w:r>
    </w:p>
    <w:p>
      <w:pPr>
        <w:pBdr>
          <w:left w:val="single" w:color="B03020" w:sz="18" w:space="16"/>
        </w:pBdr>
        <w:spacing w:after="80" w:before="340"/>
        <w:ind w:left="180"/>
      </w:pPr>
      <w:r>
        <w:rPr>
          <w:rFonts w:ascii="Courier New" w:cs="Courier New" w:eastAsia="Courier New" w:hAnsi="Courier New"/>
          <w:b/>
          <w:bCs/>
          <w:color w:val="B03020"/>
          <w:sz w:val="38"/>
          <w:szCs w:val="38"/>
        </w:rPr>
        <w:t xml:space="preserve">Δ  </w:t>
      </w:r>
      <w:r>
        <w:rPr>
          <w:rFonts w:ascii="Arial" w:cs="Arial" w:eastAsia="Arial" w:hAnsi="Arial"/>
          <w:b/>
          <w:bCs/>
          <w:color w:val="1B2A4A"/>
          <w:sz w:val="23"/>
          <w:szCs w:val="23"/>
        </w:rPr>
        <w:t xml:space="preserve">Social Gradient — Structural Tension</w:t>
      </w:r>
    </w:p>
    <w:p>
      <w:pPr>
        <w:spacing w:after="120" w:before="0"/>
        <w:ind w:left="220"/>
      </w:pPr>
      <w:r>
        <w:rPr>
          <w:rFonts w:ascii="Arial" w:cs="Arial" w:eastAsia="Arial" w:hAnsi="Arial"/>
          <w:b/>
          <w:bCs/>
          <w:i/>
          <w:iCs/>
          <w:color w:val="B03020"/>
          <w:sz w:val="17"/>
          <w:szCs w:val="17"/>
        </w:rPr>
        <w:t xml:space="preserve">[ DRIVING FORCE ]</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Δ measures the magnitude of structural tension within the system: the degree to which resources, power, opportunity, and recognition are unevenly distributed across the population. It is the primary driver of systemic stress. The steeper the gradient, the greater the energy the system must expend to maintain cohesion without structural deformation.</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Δ is a composite variable. Income inequality (Gini coefficient) captures one dimension; territorial disparity, differential access to services, and concentration of political power are empirically distinct components that can diverge substantially. A society with moderate income inequality but extreme territorial disparity may exhibit high Δ despite a favorable Gini. The structural gradient — the full pressure differential — is the relevant variable.</w:t>
      </w:r>
    </w:p>
    <w:p>
      <w:pPr>
        <w:spacing w:after="160" w:before="80" w:line="380"/>
        <w:jc w:val="both"/>
      </w:pPr>
      <w:r>
        <w:rPr>
          <w:rFonts w:ascii="Georgia" w:cs="Georgia" w:eastAsia="Georgia" w:hAnsi="Georgia"/>
          <w:b/>
          <w:bCs/>
          <w:color w:val="1A1A2E"/>
          <w:sz w:val="21"/>
          <w:szCs w:val="21"/>
        </w:rPr>
        <w:t xml:space="preserve">Physical analogy:  </w:t>
      </w:r>
      <w:r>
        <w:rPr>
          <w:rFonts w:ascii="Georgia" w:cs="Georgia" w:eastAsia="Georgia" w:hAnsi="Georgia"/>
          <w:i/>
          <w:iCs/>
          <w:color w:val="444444"/>
          <w:sz w:val="21"/>
          <w:szCs w:val="21"/>
        </w:rPr>
        <w:t xml:space="preserve">Thermodynamic Δ is the pressure differential across a membrane — the potential energy that drives flows and, when unrelieved, produces structural rupture. Like thermal gradient, it determines the direction and force of systemic flows.</w:t>
      </w:r>
    </w:p>
    <w:p>
      <w:pPr>
        <w:spacing w:after="160" w:before="80" w:line="380"/>
        <w:jc w:val="both"/>
      </w:pPr>
      <w:r>
        <w:rPr>
          <w:rFonts w:ascii="Georgia" w:cs="Georgia" w:eastAsia="Georgia" w:hAnsi="Georgia"/>
          <w:b w:val="false"/>
          <w:bCs w:val="false"/>
          <w:i/>
          <w:iCs/>
          <w:color w:val="2D2D2D"/>
          <w:sz w:val="22"/>
          <w:szCs w:val="22"/>
        </w:rPr>
        <w:t xml:space="preserve">Operationalized by: Gini coefficient, territorial disparity indices, access inequality measures, political power concentration indices (V-Dem, UNDP HDI, World Bank Poverty data).</w:t>
      </w:r>
    </w:p>
    <w:p>
      <w:pPr>
        <w:spacing w:after="80" w:before="80"/>
      </w:pPr>
      <w:r>
        <w:t xml:space="preserve"/>
      </w:r>
    </w:p>
    <w:p>
      <w:pPr>
        <w:pBdr>
          <w:bottom w:val="single" w:color="F4F6F9" w:sz="2" w:space="1"/>
        </w:pBdr>
        <w:spacing w:after="80" w:before="80"/>
      </w:pPr>
      <w:r>
        <w:t xml:space="preserve"/>
      </w:r>
    </w:p>
    <w:p>
      <w:pPr>
        <w:spacing w:after="60" w:before="60"/>
      </w:pPr>
      <w:r>
        <w:t xml:space="preserve"/>
      </w:r>
    </w:p>
    <w:p>
      <w:pPr>
        <w:pBdr>
          <w:left w:val="single" w:color="B03020" w:sz="18" w:space="16"/>
        </w:pBdr>
        <w:spacing w:after="80" w:before="340"/>
        <w:ind w:left="180"/>
      </w:pPr>
      <w:r>
        <w:rPr>
          <w:rFonts w:ascii="Courier New" w:cs="Courier New" w:eastAsia="Courier New" w:hAnsi="Courier New"/>
          <w:b/>
          <w:bCs/>
          <w:color w:val="B03020"/>
          <w:sz w:val="38"/>
          <w:szCs w:val="38"/>
        </w:rPr>
        <w:t xml:space="preserve">ν  </w:t>
      </w:r>
      <w:r>
        <w:rPr>
          <w:rFonts w:ascii="Arial" w:cs="Arial" w:eastAsia="Arial" w:hAnsi="Arial"/>
          <w:b/>
          <w:bCs/>
          <w:color w:val="1B2A4A"/>
          <w:sz w:val="23"/>
          <w:szCs w:val="23"/>
        </w:rPr>
        <w:t xml:space="preserve">Economic Velocity — Systemic Energy Flux</w:t>
      </w:r>
    </w:p>
    <w:p>
      <w:pPr>
        <w:spacing w:after="120" w:before="0"/>
        <w:ind w:left="220"/>
      </w:pPr>
      <w:r>
        <w:rPr>
          <w:rFonts w:ascii="Arial" w:cs="Arial" w:eastAsia="Arial" w:hAnsi="Arial"/>
          <w:b/>
          <w:bCs/>
          <w:i/>
          <w:iCs/>
          <w:color w:val="B03020"/>
          <w:sz w:val="17"/>
          <w:szCs w:val="17"/>
        </w:rPr>
        <w:t xml:space="preserve">[ DRIVING FORCE ]</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ν measures the rate of productive activity flowing through the system — the aggregate velocity of economic, social, and institutional processes. It is not equivalent to GDP; it encompasses the quality, distribution, and sustainability of flows, including the informal economy that standard national accounting systematically underestimates.</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interaction between Δ and ν is the most fundamental dynamic in the framework. High ν with low Δ generates conditions for sustained institutional development. High ν with high Δ generates a structurally dangerous configuration: rapid energy flows that bypass the distribution mechanisms that should absorb them, producing accelerated concentration at the top and accelerated fatigue at structural margins. This combination — high growth, high inequality — is the characteristic signature of pre-crisis configurations.</w:t>
      </w:r>
    </w:p>
    <w:p>
      <w:pPr>
        <w:spacing w:after="160" w:before="80" w:line="380"/>
        <w:jc w:val="both"/>
      </w:pPr>
      <w:r>
        <w:rPr>
          <w:rFonts w:ascii="Georgia" w:cs="Georgia" w:eastAsia="Georgia" w:hAnsi="Georgia"/>
          <w:b/>
          <w:bCs/>
          <w:color w:val="1A1A2E"/>
          <w:sz w:val="21"/>
          <w:szCs w:val="21"/>
        </w:rPr>
        <w:t xml:space="preserve">Physical analogy:  </w:t>
      </w:r>
      <w:r>
        <w:rPr>
          <w:rFonts w:ascii="Georgia" w:cs="Georgia" w:eastAsia="Georgia" w:hAnsi="Georgia"/>
          <w:i/>
          <w:iCs/>
          <w:color w:val="444444"/>
          <w:sz w:val="21"/>
          <w:szCs w:val="21"/>
        </w:rPr>
        <w:t xml:space="preserve">Fluid mechanics ν is the flow velocity. High velocity with sufficient channel capacity (μ) is productive. High velocity with insufficient channel capacity produces turbulence, erosion, and structural damage to the conduit itself.</w:t>
      </w:r>
    </w:p>
    <w:p>
      <w:pPr>
        <w:spacing w:after="160" w:before="80" w:line="380"/>
        <w:jc w:val="both"/>
      </w:pPr>
      <w:r>
        <w:rPr>
          <w:rFonts w:ascii="Georgia" w:cs="Georgia" w:eastAsia="Georgia" w:hAnsi="Georgia"/>
          <w:b w:val="false"/>
          <w:bCs w:val="false"/>
          <w:i/>
          <w:iCs/>
          <w:color w:val="2D2D2D"/>
          <w:sz w:val="22"/>
          <w:szCs w:val="22"/>
        </w:rPr>
        <w:t xml:space="preserve">Operationalized by: GDP per capita growth rate, investment rate, trade openness, innovation density index (GII), including informal economy estimates (Schneider-Enste methodology).</w:t>
      </w:r>
    </w:p>
    <w:p>
      <w:pPr>
        <w:spacing w:after="80" w:before="80"/>
      </w:pPr>
      <w:r>
        <w:t xml:space="preserve"/>
      </w:r>
    </w:p>
    <w:p>
      <w:pPr>
        <w:pBdr>
          <w:bottom w:val="single" w:color="F4F6F9" w:sz="2" w:space="1"/>
        </w:pBdr>
        <w:spacing w:after="80" w:before="80"/>
      </w:pPr>
      <w:r>
        <w:t xml:space="preserve"/>
      </w:r>
    </w:p>
    <w:p>
      <w:pPr>
        <w:spacing w:after="60" w:before="60"/>
      </w:pPr>
      <w:r>
        <w:t xml:space="preserve"/>
      </w:r>
    </w:p>
    <w:p>
      <w:pPr>
        <w:pBdr>
          <w:left w:val="single" w:color="2E5FA3" w:sz="18" w:space="16"/>
        </w:pBdr>
        <w:spacing w:after="80" w:before="340"/>
        <w:ind w:left="180"/>
      </w:pPr>
      <w:r>
        <w:rPr>
          <w:rFonts w:ascii="Courier New" w:cs="Courier New" w:eastAsia="Courier New" w:hAnsi="Courier New"/>
          <w:b/>
          <w:bCs/>
          <w:color w:val="2E5FA3"/>
          <w:sz w:val="38"/>
          <w:szCs w:val="38"/>
        </w:rPr>
        <w:t xml:space="preserve">μ  </w:t>
      </w:r>
      <w:r>
        <w:rPr>
          <w:rFonts w:ascii="Arial" w:cs="Arial" w:eastAsia="Arial" w:hAnsi="Arial"/>
          <w:b/>
          <w:bCs/>
          <w:color w:val="1B2A4A"/>
          <w:sz w:val="23"/>
          <w:szCs w:val="23"/>
        </w:rPr>
        <w:t xml:space="preserve">Institutional Cohesion — Structural Viscosity</w:t>
      </w:r>
    </w:p>
    <w:p>
      <w:pPr>
        <w:spacing w:after="120" w:before="0"/>
        <w:ind w:left="220"/>
      </w:pPr>
      <w:r>
        <w:rPr>
          <w:rFonts w:ascii="Arial" w:cs="Arial" w:eastAsia="Arial" w:hAnsi="Arial"/>
          <w:b/>
          <w:bCs/>
          <w:i/>
          <w:iCs/>
          <w:color w:val="2E5FA3"/>
          <w:sz w:val="17"/>
          <w:szCs w:val="17"/>
        </w:rPr>
        <w:t xml:space="preserve">[ STRUCTURAL CAPACITY (denominator) ]</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μ measures the capacity of institutions — formal and informal — to absorb, process, and redistribute systemic stress. It appears in the denominator of the equation because it is the system's primary shock absorber: higher μ reduces Re_s by increasing the system's capacity to process driving forces without permanent structural deformation.</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μ is not a measure of government quality in the normative sense. It is a structural measure of load-bearing capacity: the degree to which the system's institutional architecture can accept stress at the surface and distribute it without fracture. When μ approaches zero, Re_s approaches infinity — the system loses all capacity to absorb stress. This is the mathematical expression of institutional collapse.</w:t>
      </w:r>
    </w:p>
    <w:p>
      <w:pPr>
        <w:spacing w:after="160" w:before="80" w:line="380"/>
        <w:jc w:val="both"/>
      </w:pPr>
      <w:r>
        <w:rPr>
          <w:rFonts w:ascii="Georgia" w:cs="Georgia" w:eastAsia="Georgia" w:hAnsi="Georgia"/>
          <w:b/>
          <w:bCs/>
          <w:color w:val="1A1A2E"/>
          <w:sz w:val="21"/>
          <w:szCs w:val="21"/>
        </w:rPr>
        <w:t xml:space="preserve">Physical analogy:  </w:t>
      </w:r>
      <w:r>
        <w:rPr>
          <w:rFonts w:ascii="Georgia" w:cs="Georgia" w:eastAsia="Georgia" w:hAnsi="Georgia"/>
          <w:i/>
          <w:iCs/>
          <w:color w:val="444444"/>
          <w:sz w:val="21"/>
          <w:szCs w:val="21"/>
        </w:rPr>
        <w:t xml:space="preserve">Metallurgical μ is the yield strength of a structural alloy — the stress level below which deformation is elastic (recoverable) and above which it becomes plastic (permanent). The institutional composition of the alloy determines its yield strength: a system built with layered institutional history (high H) has higher μ than one with shallow institutional substrate.</w:t>
      </w:r>
    </w:p>
    <w:p>
      <w:pPr>
        <w:spacing w:after="160" w:before="80" w:line="380"/>
        <w:jc w:val="both"/>
      </w:pPr>
      <w:r>
        <w:rPr>
          <w:rFonts w:ascii="Georgia" w:cs="Georgia" w:eastAsia="Georgia" w:hAnsi="Georgia"/>
          <w:b w:val="false"/>
          <w:bCs w:val="false"/>
          <w:i/>
          <w:iCs/>
          <w:color w:val="2D2D2D"/>
          <w:sz w:val="22"/>
          <w:szCs w:val="22"/>
        </w:rPr>
        <w:t xml:space="preserve">Operationalized by: World Governance Indicators (rule of law, government effectiveness), social trust surveys (ESS, Latinobarómetro), Varieties of Democracy (V-Dem), state capacity indices.</w:t>
      </w:r>
    </w:p>
    <w:p>
      <w:pPr>
        <w:spacing w:after="80" w:before="80"/>
      </w:pPr>
      <w:r>
        <w:t xml:space="preserve"/>
      </w:r>
    </w:p>
    <w:p>
      <w:pPr>
        <w:pBdr>
          <w:bottom w:val="single" w:color="F4F6F9" w:sz="2" w:space="1"/>
        </w:pBdr>
        <w:spacing w:after="80" w:before="80"/>
      </w:pPr>
      <w:r>
        <w:t xml:space="preserve"/>
      </w:r>
    </w:p>
    <w:p>
      <w:pPr>
        <w:spacing w:after="60" w:before="60"/>
      </w:pPr>
      <w:r>
        <w:t xml:space="preserve"/>
      </w:r>
    </w:p>
    <w:p>
      <w:pPr>
        <w:pBdr>
          <w:left w:val="single" w:color="5A3A8A" w:sz="18" w:space="16"/>
        </w:pBdr>
        <w:spacing w:after="80" w:before="340"/>
        <w:ind w:left="180"/>
      </w:pPr>
      <w:r>
        <w:rPr>
          <w:rFonts w:ascii="Courier New" w:cs="Courier New" w:eastAsia="Courier New" w:hAnsi="Courier New"/>
          <w:b/>
          <w:bCs/>
          <w:color w:val="5A3A8A"/>
          <w:sz w:val="38"/>
          <w:szCs w:val="38"/>
        </w:rPr>
        <w:t xml:space="preserve">M  </w:t>
      </w:r>
      <w:r>
        <w:rPr>
          <w:rFonts w:ascii="Arial" w:cs="Arial" w:eastAsia="Arial" w:hAnsi="Arial"/>
          <w:b/>
          <w:bCs/>
          <w:color w:val="1B2A4A"/>
          <w:sz w:val="23"/>
          <w:szCs w:val="23"/>
        </w:rPr>
        <w:t xml:space="preserve">Internal Microstructure — Distribution of Structural Capacity</w:t>
      </w:r>
    </w:p>
    <w:p>
      <w:pPr>
        <w:spacing w:after="120" w:before="0"/>
        <w:ind w:left="220"/>
      </w:pPr>
      <w:r>
        <w:rPr>
          <w:rFonts w:ascii="Arial" w:cs="Arial" w:eastAsia="Arial" w:hAnsi="Arial"/>
          <w:b/>
          <w:bCs/>
          <w:i/>
          <w:iCs/>
          <w:color w:val="5A3A8A"/>
          <w:sz w:val="17"/>
          <w:szCs w:val="17"/>
        </w:rPr>
        <w:t xml:space="preserve">[ STRUCTURAL GEOMETRY ]</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M captures the internal architecture of the system: how productive capacity, institutional strength, and social organization are spatially and sectorally distributed. A system with identical aggregate values of Δ, ν, and μ can exhibit radically different dynamics depending on whether its structure is concentrated or distributed — fragmented or integrated.</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M is the solution to what earlier versions of the model identified as the 'bifunctional variable problem': certain variables (such as territorial distribution of infrastructure, sectoral concentration of economic activity) needed to appear in multiple primary variables with different functional roles. M resolves this by capturing the geometric form of the system as a dedicated structural layer, separate from the aggregate magnitudes.</w:t>
      </w:r>
    </w:p>
    <w:p>
      <w:pPr>
        <w:spacing w:after="160" w:before="80" w:line="380"/>
        <w:jc w:val="both"/>
      </w:pPr>
      <w:r>
        <w:rPr>
          <w:rFonts w:ascii="Georgia" w:cs="Georgia" w:eastAsia="Georgia" w:hAnsi="Georgia"/>
          <w:b/>
          <w:bCs/>
          <w:color w:val="1A1A2E"/>
          <w:sz w:val="21"/>
          <w:szCs w:val="21"/>
        </w:rPr>
        <w:t xml:space="preserve">Physical analogy:  </w:t>
      </w:r>
      <w:r>
        <w:rPr>
          <w:rFonts w:ascii="Georgia" w:cs="Georgia" w:eastAsia="Georgia" w:hAnsi="Georgia"/>
          <w:i/>
          <w:iCs/>
          <w:color w:val="444444"/>
          <w:sz w:val="21"/>
          <w:szCs w:val="21"/>
        </w:rPr>
        <w:t xml:space="preserve">Metallurgical M is the grain structure of an alloy. Two alloys with identical bulk chemical composition can have dramatically different mechanical properties depending on grain size, grain boundary composition, and crystallographic orientation. Where fracture initiates, and how it propagates, is determined by M — not by bulk composition alone.</w:t>
      </w:r>
    </w:p>
    <w:p>
      <w:pPr>
        <w:spacing w:after="160" w:before="80" w:line="380"/>
        <w:jc w:val="both"/>
      </w:pPr>
      <w:r>
        <w:rPr>
          <w:rFonts w:ascii="Georgia" w:cs="Georgia" w:eastAsia="Georgia" w:hAnsi="Georgia"/>
          <w:b w:val="false"/>
          <w:bCs w:val="false"/>
          <w:i/>
          <w:iCs/>
          <w:color w:val="2D2D2D"/>
          <w:sz w:val="22"/>
          <w:szCs w:val="22"/>
        </w:rPr>
        <w:t xml:space="preserve">Operationalized by: productive diversification indices (economic complexity), regional concentration measures, infrastructure distribution Gini, sectoral Herfindahl indices, sub-national data from national statistics offices.</w:t>
      </w:r>
    </w:p>
    <w:p>
      <w:pPr>
        <w:spacing w:after="80" w:before="80"/>
      </w:pPr>
      <w:r>
        <w:t xml:space="preserve"/>
      </w:r>
    </w:p>
    <w:p>
      <w:pPr>
        <w:pBdr>
          <w:bottom w:val="single" w:color="F4F6F9" w:sz="2" w:space="1"/>
        </w:pBdr>
        <w:spacing w:after="80" w:before="80"/>
      </w:pPr>
      <w:r>
        <w:t xml:space="preserve"/>
      </w:r>
    </w:p>
    <w:p>
      <w:pPr>
        <w:spacing w:after="60" w:before="60"/>
      </w:pPr>
      <w:r>
        <w:t xml:space="preserve"/>
      </w:r>
    </w:p>
    <w:p>
      <w:pPr>
        <w:pBdr>
          <w:left w:val="single" w:color="C8922A" w:sz="18" w:space="16"/>
        </w:pBdr>
        <w:spacing w:after="80" w:before="340"/>
        <w:ind w:left="180"/>
      </w:pPr>
      <w:r>
        <w:rPr>
          <w:rFonts w:ascii="Courier New" w:cs="Courier New" w:eastAsia="Courier New" w:hAnsi="Courier New"/>
          <w:b/>
          <w:bCs/>
          <w:color w:val="C8922A"/>
          <w:sz w:val="38"/>
          <w:szCs w:val="38"/>
        </w:rPr>
        <w:t xml:space="preserve">T  </w:t>
      </w:r>
      <w:r>
        <w:rPr>
          <w:rFonts w:ascii="Arial" w:cs="Arial" w:eastAsia="Arial" w:hAnsi="Arial"/>
          <w:b/>
          <w:bCs/>
          <w:color w:val="1B2A4A"/>
          <w:sz w:val="23"/>
          <w:szCs w:val="23"/>
        </w:rPr>
        <w:t xml:space="preserve">Accumulated Structural Fatigue — System Memory</w:t>
      </w:r>
    </w:p>
    <w:p>
      <w:pPr>
        <w:spacing w:after="120" w:before="0"/>
        <w:ind w:left="220"/>
      </w:pPr>
      <w:r>
        <w:rPr>
          <w:rFonts w:ascii="Arial" w:cs="Arial" w:eastAsia="Arial" w:hAnsi="Arial"/>
          <w:b/>
          <w:bCs/>
          <w:i/>
          <w:iCs/>
          <w:color w:val="C8922A"/>
          <w:sz w:val="17"/>
          <w:szCs w:val="17"/>
        </w:rPr>
        <w:t xml:space="preserve">[ TEMPORAL MEMORY (multiplier on all terms) ]</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 is the most theoretically novel variable in the framework and the one with least precedent in existing economic literature. It represents accumulated structural damage resulting from the history of stresses the system has endured without adequate recovery. T is not the current level of stress — it is the system's structural memory of past stress. It encodes history in the present, making the system's response to future shocks dependent not only on those shocks but on everything that has come before.</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 appears as a direct multiplier on the entire Re_s equation — not on a single term, but on the product of all other terms. This placement reflects a foundational structural claim: accumulated fatigue does not add to systemic risk — it multiplies every existing source of risk simultaneously. A system with T = 2 responds to every shock as if it were twice as severe. This explains why crises appear 'sudden' to conventional analysis: the system's observable indicators may have been stable while T accumulated invisibly, reducing structural reserve until an ordinary perturbation crossed the threshold.</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temporal dynamics of T are governed by: T(t) = T(t-1)·λ + f(Δ, μ, φ, shocks) − R(t), where λ is the persistence coefficient (0 &lt; λ &lt; 1), the middle term represents stress accumulation weighted by institutional absorption capacity, and R(t) represents active structural recovery through deliberate intervention or favorable conditions. Without active recovery (R &gt; 0), T compounds.</w:t>
      </w:r>
    </w:p>
    <w:p>
      <w:pPr>
        <w:spacing w:after="160" w:before="80" w:line="380"/>
        <w:jc w:val="both"/>
      </w:pPr>
      <w:r>
        <w:rPr>
          <w:rFonts w:ascii="Georgia" w:cs="Georgia" w:eastAsia="Georgia" w:hAnsi="Georgia"/>
          <w:b/>
          <w:bCs/>
          <w:color w:val="1A1A2E"/>
          <w:sz w:val="21"/>
          <w:szCs w:val="21"/>
        </w:rPr>
        <w:t xml:space="preserve">Physical analogy:  </w:t>
      </w:r>
      <w:r>
        <w:rPr>
          <w:rFonts w:ascii="Georgia" w:cs="Georgia" w:eastAsia="Georgia" w:hAnsi="Georgia"/>
          <w:i/>
          <w:iCs/>
          <w:color w:val="444444"/>
          <w:sz w:val="21"/>
          <w:szCs w:val="21"/>
        </w:rPr>
        <w:t xml:space="preserve">Materials fatigue T is fatigue in the engineering sense — the accumulation of micro-cracks under repeated stress cycles below the failure threshold. A structural element can endure thousands of load cycles without visible failure and then fracture under a load that previously caused no measurable effect — because the micro-damage has accumulated to the point where structural integrity is exhausted. The crack propagated invisibly; only the final fracture is observed.</w:t>
      </w:r>
    </w:p>
    <w:p>
      <w:pPr>
        <w:spacing w:after="160" w:before="80" w:line="380"/>
        <w:jc w:val="both"/>
      </w:pPr>
      <w:r>
        <w:rPr>
          <w:rFonts w:ascii="Georgia" w:cs="Georgia" w:eastAsia="Georgia" w:hAnsi="Georgia"/>
          <w:b w:val="false"/>
          <w:bCs w:val="false"/>
          <w:i/>
          <w:iCs/>
          <w:color w:val="2D2D2D"/>
          <w:sz w:val="22"/>
          <w:szCs w:val="22"/>
        </w:rPr>
        <w:t xml:space="preserve">Operationalized by: constructed index from historical crisis frequency, institutional shock exposure, recovery duration, weighted by estimated structural severity. No direct observational instrument exists; T is inferred from cumulative stress history, analogous to how engineering fatigue is inferred from crack propagation rates rather than measured at the molecular level.</w:t>
      </w:r>
    </w:p>
    <w:p>
      <w:pPr>
        <w:spacing w:after="80" w:before="80"/>
      </w:pPr>
      <w:r>
        <w:t xml:space="preserve"/>
      </w:r>
    </w:p>
    <w:p>
      <w:pPr>
        <w:pBdr>
          <w:bottom w:val="single" w:color="F4F6F9" w:sz="2" w:space="1"/>
        </w:pBdr>
        <w:spacing w:after="80" w:before="80"/>
      </w:pPr>
      <w:r>
        <w:t xml:space="preserve"/>
      </w:r>
    </w:p>
    <w:p>
      <w:pPr>
        <w:spacing w:after="60" w:before="60"/>
      </w:pPr>
      <w:r>
        <w:t xml:space="preserve"/>
      </w:r>
    </w:p>
    <w:p>
      <w:pPr>
        <w:spacing w:after="80" w:before="80"/>
      </w:pPr>
      <w:r>
        <w:t xml:space="preserve"/>
      </w:r>
    </w:p>
    <w:p>
      <w:pPr>
        <w:spacing w:after="140" w:before="360"/>
      </w:pPr>
      <w:r>
        <w:rPr>
          <w:rFonts w:ascii="Arial" w:cs="Arial" w:eastAsia="Arial" w:hAnsi="Arial"/>
          <w:b/>
          <w:bCs/>
          <w:color w:val="2E5FA3"/>
          <w:sz w:val="24"/>
          <w:szCs w:val="24"/>
        </w:rPr>
        <w:t xml:space="preserve">3.4  </w:t>
      </w:r>
      <w:r>
        <w:rPr>
          <w:rFonts w:ascii="Arial" w:cs="Arial" w:eastAsia="Arial" w:hAnsi="Arial"/>
          <w:b/>
          <w:bCs/>
          <w:color w:val="1B2A4A"/>
          <w:sz w:val="24"/>
          <w:szCs w:val="24"/>
        </w:rPr>
        <w:t xml:space="preserve">Structural Interpretation of the Equation</w:t>
      </w:r>
    </w:p>
    <w:p>
      <w:pPr>
        <w:spacing w:after="60" w:before="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Re_s equation has four functional components that repay careful structural reading:</w:t>
      </w:r>
    </w:p>
    <w:p>
      <w:pPr>
        <w:spacing w:after="60" w:before="60"/>
      </w:pPr>
      <w:r>
        <w:t xml:space="preserve"/>
      </w:r>
    </w:p>
    <w:p>
      <w:pPr>
        <w:pBdr>
          <w:top w:val="single" w:color="D0D7E3" w:sz="2"/>
          <w:bottom w:val="single" w:color="D0D7E3" w:sz="2"/>
          <w:left w:val="single" w:color="2E5FA3" w:sz="10"/>
          <w:right w:val="single" w:color="D0D7E3" w:sz="2"/>
        </w:pBdr>
        <w:shd w:fill="EEF2F8" w:val="clear"/>
        <w:spacing w:after="60" w:before="260"/>
        <w:ind w:left="500" w:right="500"/>
        <w:jc w:val="center"/>
      </w:pPr>
      <w:r>
        <w:rPr>
          <w:rFonts w:ascii="Courier New" w:cs="Courier New" w:eastAsia="Courier New" w:hAnsi="Courier New"/>
          <w:b/>
          <w:bCs/>
          <w:color w:val="1B2A4A"/>
          <w:sz w:val="30"/>
          <w:szCs w:val="30"/>
        </w:rPr>
        <w:t xml:space="preserve">(Δ · ν) / μ  =  Net Stress Load</w:t>
      </w:r>
      <w:r>
        <w:rPr>
          <w:rFonts w:ascii="Georgia" w:cs="Georgia" w:eastAsia="Georgia" w:hAnsi="Georgia"/>
          <w:i/>
          <w:iCs/>
          <w:color w:val="888888"/>
          <w:sz w:val="19"/>
          <w:szCs w:val="19"/>
        </w:rPr>
        <w:t xml:space="preserve">     [component 1]</w:t>
      </w:r>
    </w:p>
    <w:p>
      <w:pPr>
        <w:spacing w:after="220" w:before="40"/>
        <w:jc w:val="center"/>
      </w:pPr>
      <w:r>
        <w:rPr>
          <w:rFonts w:ascii="Georgia" w:cs="Georgia" w:eastAsia="Georgia" w:hAnsi="Georgia"/>
          <w:i/>
          <w:iCs/>
          <w:color w:val="666666"/>
          <w:sz w:val="18"/>
          <w:szCs w:val="18"/>
        </w:rPr>
        <w:t xml:space="preserve">The ratio of driving forces (tension × velocity) to absorption capacity. This is the fundamental stress-to-strength ratio of the system.</w:t>
      </w:r>
    </w:p>
    <w:p>
      <w:pPr>
        <w:pBdr>
          <w:top w:val="single" w:color="D0D7E3" w:sz="2"/>
          <w:bottom w:val="single" w:color="D0D7E3" w:sz="2"/>
          <w:left w:val="single" w:color="2E5FA3" w:sz="10"/>
          <w:right w:val="single" w:color="D0D7E3" w:sz="2"/>
        </w:pBdr>
        <w:shd w:fill="EEF2F8" w:val="clear"/>
        <w:spacing w:after="60" w:before="260"/>
        <w:ind w:left="500" w:right="500"/>
        <w:jc w:val="center"/>
      </w:pPr>
      <w:r>
        <w:rPr>
          <w:rFonts w:ascii="Courier New" w:cs="Courier New" w:eastAsia="Courier New" w:hAnsi="Courier New"/>
          <w:b/>
          <w:bCs/>
          <w:color w:val="1B2A4A"/>
          <w:sz w:val="30"/>
          <w:szCs w:val="30"/>
        </w:rPr>
        <w:t xml:space="preserve">· M  =  Distributed Stress</w:t>
      </w:r>
      <w:r>
        <w:rPr>
          <w:rFonts w:ascii="Georgia" w:cs="Georgia" w:eastAsia="Georgia" w:hAnsi="Georgia"/>
          <w:i/>
          <w:iCs/>
          <w:color w:val="888888"/>
          <w:sz w:val="19"/>
          <w:szCs w:val="19"/>
        </w:rPr>
        <w:t xml:space="preserve">     [component 2]</w:t>
      </w:r>
    </w:p>
    <w:p>
      <w:pPr>
        <w:spacing w:after="220" w:before="40"/>
        <w:jc w:val="center"/>
      </w:pPr>
      <w:r>
        <w:rPr>
          <w:rFonts w:ascii="Georgia" w:cs="Georgia" w:eastAsia="Georgia" w:hAnsi="Georgia"/>
          <w:i/>
          <w:iCs/>
          <w:color w:val="666666"/>
          <w:sz w:val="18"/>
          <w:szCs w:val="18"/>
        </w:rPr>
        <w:t xml:space="preserve">How the net stress load is distributed across the system's internal architecture. Fragmented M concentrates stress; integrated M disperses it.</w:t>
      </w:r>
    </w:p>
    <w:p>
      <w:pPr>
        <w:pBdr>
          <w:top w:val="single" w:color="D0D7E3" w:sz="2"/>
          <w:bottom w:val="single" w:color="D0D7E3" w:sz="2"/>
          <w:left w:val="single" w:color="2E5FA3" w:sz="10"/>
          <w:right w:val="single" w:color="D0D7E3" w:sz="2"/>
        </w:pBdr>
        <w:shd w:fill="EEF2F8" w:val="clear"/>
        <w:spacing w:after="60" w:before="260"/>
        <w:ind w:left="500" w:right="500"/>
        <w:jc w:val="center"/>
      </w:pPr>
      <w:r>
        <w:rPr>
          <w:rFonts w:ascii="Courier New" w:cs="Courier New" w:eastAsia="Courier New" w:hAnsi="Courier New"/>
          <w:b/>
          <w:bCs/>
          <w:color w:val="1B2A4A"/>
          <w:sz w:val="30"/>
          <w:szCs w:val="30"/>
        </w:rPr>
        <w:t xml:space="preserve">· (1 + φ²)  =  Friction Amplification</w:t>
      </w:r>
      <w:r>
        <w:rPr>
          <w:rFonts w:ascii="Georgia" w:cs="Georgia" w:eastAsia="Georgia" w:hAnsi="Georgia"/>
          <w:i/>
          <w:iCs/>
          <w:color w:val="888888"/>
          <w:sz w:val="19"/>
          <w:szCs w:val="19"/>
        </w:rPr>
        <w:t xml:space="preserve">     [component 3]</w:t>
      </w:r>
    </w:p>
    <w:p>
      <w:pPr>
        <w:spacing w:after="220" w:before="40"/>
        <w:jc w:val="center"/>
      </w:pPr>
      <w:r>
        <w:rPr>
          <w:rFonts w:ascii="Georgia" w:cs="Georgia" w:eastAsia="Georgia" w:hAnsi="Georgia"/>
          <w:i/>
          <w:iCs/>
          <w:color w:val="666666"/>
          <w:sz w:val="18"/>
          <w:szCs w:val="18"/>
        </w:rPr>
        <w:t xml:space="preserve">Nonlinear multiplication of distributed stress by institutional friction. φ=0 → amplifier=1.0. φ=0.5 → 1.25. φ=1.0 → 2.0. φ=1.5 → 3.25. φ=2.0 → 5.0</w:t>
      </w:r>
    </w:p>
    <w:p>
      <w:pPr>
        <w:pBdr>
          <w:top w:val="single" w:color="D0D7E3" w:sz="2"/>
          <w:bottom w:val="single" w:color="D0D7E3" w:sz="2"/>
          <w:left w:val="single" w:color="2E5FA3" w:sz="10"/>
          <w:right w:val="single" w:color="D0D7E3" w:sz="2"/>
        </w:pBdr>
        <w:shd w:fill="EEF2F8" w:val="clear"/>
        <w:spacing w:after="60" w:before="260"/>
        <w:ind w:left="500" w:right="500"/>
        <w:jc w:val="center"/>
      </w:pPr>
      <w:r>
        <w:rPr>
          <w:rFonts w:ascii="Courier New" w:cs="Courier New" w:eastAsia="Courier New" w:hAnsi="Courier New"/>
          <w:b/>
          <w:bCs/>
          <w:color w:val="1B2A4A"/>
          <w:sz w:val="30"/>
          <w:szCs w:val="30"/>
        </w:rPr>
        <w:t xml:space="preserve">· T  =  Memory Multiplication</w:t>
      </w:r>
      <w:r>
        <w:rPr>
          <w:rFonts w:ascii="Georgia" w:cs="Georgia" w:eastAsia="Georgia" w:hAnsi="Georgia"/>
          <w:i/>
          <w:iCs/>
          <w:color w:val="888888"/>
          <w:sz w:val="19"/>
          <w:szCs w:val="19"/>
        </w:rPr>
        <w:t xml:space="preserve">     [component 4]</w:t>
      </w:r>
    </w:p>
    <w:p>
      <w:pPr>
        <w:spacing w:after="220" w:before="40"/>
        <w:jc w:val="center"/>
      </w:pPr>
      <w:r>
        <w:rPr>
          <w:rFonts w:ascii="Georgia" w:cs="Georgia" w:eastAsia="Georgia" w:hAnsi="Georgia"/>
          <w:i/>
          <w:iCs/>
          <w:color w:val="666666"/>
          <w:sz w:val="18"/>
          <w:szCs w:val="18"/>
        </w:rPr>
        <w:t xml:space="preserve">Accumulated fatigue multiplies the entire equation. T is not additive — it is scalar on all other terms simultaneously.</w:t>
      </w:r>
    </w:p>
    <w:p>
      <w:pPr>
        <w:spacing w:after="60" w:before="60"/>
      </w:pPr>
      <w:r>
        <w:t xml:space="preserve"/>
      </w:r>
    </w:p>
    <w:p>
      <w:pPr>
        <w:pBdr>
          <w:top w:val="single" w:color="B03020" w:sz="2"/>
          <w:bottom w:val="single" w:color="B03020" w:sz="2"/>
          <w:left w:val="single" w:color="B03020" w:sz="12"/>
          <w:right w:val="single" w:color="B03020" w:sz="2"/>
        </w:pBdr>
        <w:shd w:fill="FDF0EE" w:val="clear"/>
        <w:spacing w:after="160" w:before="160" w:line="340"/>
        <w:ind w:left="360" w:right="200"/>
      </w:pPr>
      <w:r>
        <w:rPr>
          <w:rFonts w:ascii="Arial" w:cs="Arial" w:eastAsia="Arial" w:hAnsi="Arial"/>
          <w:b/>
          <w:bCs/>
          <w:color w:val="B03020"/>
          <w:sz w:val="22"/>
          <w:szCs w:val="22"/>
        </w:rPr>
        <w:t xml:space="preserve">⚑  </w:t>
      </w:r>
      <w:r>
        <w:rPr>
          <w:rFonts w:ascii="Georgia" w:cs="Georgia" w:eastAsia="Georgia" w:hAnsi="Georgia"/>
          <w:color w:val="B03020"/>
          <w:sz w:val="21"/>
          <w:szCs w:val="21"/>
        </w:rPr>
        <w:t xml:space="preserve">The φ² term is the equation's most important nonlinearity and its most critical policy implication. Anti-corruption and institutional strengthening programs exhibit dramatically increasing returns at high-φ environments: reducing φ from 2.0 to 1.5 reduces the amplifier from 5.0 to 3.25 — a 35% reduction in friction-induced stress from a 25% reduction in φ. Anti-corruption resources should be concentrated where φ is highest, because that is where the structural returns are greatest — by a nonlinear margin.</w:t>
      </w:r>
    </w:p>
    <w:p>
      <w:pPr>
        <w:spacing w:after="80" w:before="80"/>
      </w:pPr>
      <w:r>
        <w:t xml:space="preserve"/>
      </w:r>
    </w:p>
    <w:p>
      <w:pPr>
        <w:spacing w:after="140" w:before="360"/>
      </w:pPr>
      <w:r>
        <w:rPr>
          <w:rFonts w:ascii="Arial" w:cs="Arial" w:eastAsia="Arial" w:hAnsi="Arial"/>
          <w:b/>
          <w:bCs/>
          <w:color w:val="2E5FA3"/>
          <w:sz w:val="24"/>
          <w:szCs w:val="24"/>
        </w:rPr>
        <w:t xml:space="preserve">3.5  </w:t>
      </w:r>
      <w:r>
        <w:rPr>
          <w:rFonts w:ascii="Arial" w:cs="Arial" w:eastAsia="Arial" w:hAnsi="Arial"/>
          <w:b/>
          <w:bCs/>
          <w:color w:val="1B2A4A"/>
          <w:sz w:val="24"/>
          <w:szCs w:val="24"/>
        </w:rPr>
        <w:t xml:space="preserve">System Dynamics: How Re_s Evolves</w:t>
      </w:r>
    </w:p>
    <w:p>
      <w:pPr>
        <w:spacing w:after="60" w:before="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equation gives the instantaneous structural state. The full dynamic model governs how each variable evolves and how they interact across time. Four primary feedback structures determine whether the system moves toward structural health or structural deterioration: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000"/>
      </w:tblGrid>
      <w:tr>
        <w:trPr>
          <w:tblHeader/>
        </w:trPr>
        <w:tc>
          <w:tcPr>
            <w:tcW w:type="dxa" w:w="22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Feedback Loop</w:t>
            </w:r>
          </w:p>
        </w:tc>
        <w:tc>
          <w:tcPr>
            <w:tcW w:type="dxa" w:w="16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Type</w:t>
            </w:r>
          </w:p>
        </w:tc>
        <w:tc>
          <w:tcPr>
            <w:tcW w:type="dxa" w:w="24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Trigger Condition</w:t>
            </w:r>
          </w:p>
        </w:tc>
        <w:tc>
          <w:tcPr>
            <w:tcW w:type="dxa" w:w="30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Structural Consequence</w:t>
            </w:r>
          </w:p>
        </w:tc>
      </w:tr>
      <w:tr>
        <w:tc>
          <w:tcPr>
            <w:tcW w:type="dxa" w:w="22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Virtuous Growth</w:t>
            </w:r>
          </w:p>
        </w:tc>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Negative (stabilizing)</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ν ↑ with Δ ↓ and φ ↓</w:t>
            </w:r>
          </w:p>
        </w:tc>
        <w:tc>
          <w:tcPr>
            <w:tcW w:type="dxa" w:w="30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Growth reduces inequality, strengthens institutions, lowers φ; Re_s ↓ self-reinforcing</w:t>
            </w:r>
          </w:p>
        </w:tc>
      </w:tr>
      <w:tr>
        <w:tc>
          <w:tcPr>
            <w:tcW w:type="dxa" w:w="22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Friction-Fatigue Cascade</w:t>
            </w:r>
          </w:p>
        </w:tc>
        <w:tc>
          <w:tcPr>
            <w:tcW w:type="dxa" w:w="1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Positive (destabilizing)</w:t>
            </w:r>
          </w:p>
        </w:tc>
        <w:tc>
          <w:tcPr>
            <w:tcW w:type="dxa" w:w="24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φ &gt; threshold AND T &gt; baseline</w:t>
            </w:r>
          </w:p>
        </w:tc>
        <w:tc>
          <w:tcPr>
            <w:tcW w:type="dxa" w:w="30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Friction degrades anti-friction institutions → φ ↑ further; T amplifies everything</w:t>
            </w:r>
          </w:p>
        </w:tc>
      </w:tr>
      <w:tr>
        <w:tc>
          <w:tcPr>
            <w:tcW w:type="dxa" w:w="22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Heritage Buffer</w:t>
            </w:r>
          </w:p>
        </w:tc>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Negative (stabilizing)</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High H AND external shock</w:t>
            </w:r>
          </w:p>
        </w:tc>
        <w:tc>
          <w:tcPr>
            <w:tcW w:type="dxa" w:w="30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Deep institutional heritage enables crisis mobilization without permanent deformation</w:t>
            </w:r>
          </w:p>
        </w:tc>
      </w:tr>
      <w:tr>
        <w:tc>
          <w:tcPr>
            <w:tcW w:type="dxa" w:w="22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Capital-Exodus Trap</w:t>
            </w:r>
          </w:p>
        </w:tc>
        <w:tc>
          <w:tcPr>
            <w:tcW w:type="dxa" w:w="1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Positive (destabilizing)</w:t>
            </w:r>
          </w:p>
        </w:tc>
        <w:tc>
          <w:tcPr>
            <w:tcW w:type="dxa" w:w="24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High Δ AND low ν</w:t>
            </w:r>
          </w:p>
        </w:tc>
        <w:tc>
          <w:tcPr>
            <w:tcW w:type="dxa" w:w="30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Inequality drives capital/talent flight → ν ↓ → tax base ↓ → μ ↓ → Δ ↑ → Re_s ↑</w:t>
            </w:r>
          </w:p>
        </w:tc>
      </w:tr>
    </w:tbl>
    <w:p>
      <w:pPr>
        <w:spacing w:after="80" w:before="80"/>
      </w:pPr>
      <w:r>
        <w:t xml:space="preserve"/>
      </w:r>
    </w:p>
    <w:p>
      <w:pPr>
        <w:spacing w:after="100" w:before="40"/>
        <w:ind w:left="300"/>
      </w:pPr>
      <w:r>
        <w:rPr>
          <w:rFonts w:ascii="Georgia" w:cs="Georgia" w:eastAsia="Georgia" w:hAnsi="Georgia"/>
          <w:i/>
          <w:iCs/>
          <w:color w:val="777777"/>
          <w:sz w:val="17"/>
          <w:szCs w:val="17"/>
        </w:rPr>
        <w:t xml:space="preserve">Table 4. Primary feedback mechanisms. Negative loops are self-correcting; positive loops are self-reinforcing. Crisis conditions emerge when positive loops dominate and T has accumulated past the structural reserve threshold.</w:t>
      </w:r>
    </w:p>
    <w:p>
      <w:pPr>
        <w:sectPr>
          <w:headerReference w:type="default" r:id="rId9"/>
          <w:footerReference w:type="default" r:id="rId10"/>
          <w:pgSz w:w="12240" w:h="15840" w:orient="portrait"/>
          <w:pgMar w:top="1440" w:right="1296" w:bottom="1440" w:left="1296" w:header="708" w:footer="708" w:gutter="0"/>
          <w:pgNumType/>
          <w:docGrid w:linePitch="360"/>
        </w:sectPr>
      </w:pPr>
    </w:p>
    <w:p>
      <w:pPr>
        <w:spacing w:after="60" w:before="200"/>
        <w:ind w:left="600" w:right="600"/>
        <w:jc w:val="center"/>
      </w:pPr>
      <w:r>
        <w:rPr>
          <w:rFonts w:ascii="Georgia" w:cs="Georgia" w:eastAsia="Georgia" w:hAnsi="Georgia"/>
          <w:i/>
          <w:iCs/>
          <w:color w:val="3D5066"/>
          <w:sz w:val="22"/>
          <w:szCs w:val="22"/>
        </w:rPr>
        <w:t xml:space="preserve">"The informality saves the present. And destroys the future."</w:t>
      </w:r>
    </w:p>
    <w:p>
      <w:pPr>
        <w:spacing w:after="320" w:before="0"/>
        <w:jc w:val="center"/>
      </w:pPr>
      <w:r>
        <w:rPr>
          <w:rFonts w:ascii="Georgia" w:cs="Georgia" w:eastAsia="Georgia" w:hAnsi="Georgia"/>
          <w:color w:val="999999"/>
          <w:sz w:val="19"/>
          <w:szCs w:val="19"/>
        </w:rPr>
        <w:t xml:space="preserve">— Re_s Framework — Key Principle</w:t>
      </w:r>
    </w:p>
    <w:p>
      <w:pPr>
        <w:pBdr>
          <w:bottom w:val="single" w:color="C8922A" w:sz="5" w:space="4"/>
        </w:pBdr>
        <w:spacing w:after="180" w:before="600"/>
      </w:pPr>
      <w:r>
        <w:rPr>
          <w:rFonts w:ascii="Arial" w:cs="Arial" w:eastAsia="Arial" w:hAnsi="Arial"/>
          <w:b/>
          <w:bCs/>
          <w:color w:val="C8922A"/>
          <w:sz w:val="30"/>
          <w:szCs w:val="30"/>
        </w:rPr>
        <w:t xml:space="preserve">4.  </w:t>
      </w:r>
      <w:r>
        <w:rPr>
          <w:rFonts w:ascii="Arial" w:cs="Arial" w:eastAsia="Arial" w:hAnsi="Arial"/>
          <w:b/>
          <w:bCs/>
          <w:color w:val="1B2A4A"/>
          <w:sz w:val="30"/>
          <w:szCs w:val="30"/>
        </w:rPr>
        <w:t xml:space="preserve">SELF-REGULATION AND ITS STRUCTURAL COST</w:t>
      </w:r>
    </w:p>
    <w:p>
      <w:pPr>
        <w:pBdr>
          <w:bottom w:val="single" w:color="2E5FA3" w:sz="6" w:space="1"/>
        </w:pBdr>
        <w:spacing w:after="80" w:before="80"/>
      </w:pPr>
      <w:r>
        <w:t xml:space="preserve"/>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One of the most important — and most undertheorized — properties of socioeconomic systems is their capacity for spontaneous self-regulation. When formal institutional channels fail, informal alternatives emerge. When the state cannot redistribute, civil and social networks do. When formal economic activity contracts, informal activity expands. This self-regulation is real, functional, and in many contexts essential for social survival.</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Re_s framework treats self-regulation not as a failure of the formal system but as a structural mechanism with a specific dynamic: it reduces observable stress (Δ) in the short run while accumulating structural costs (φ ↑, μ ↓, T ↑) in the long run. The gap between these two temporal effects is the hidden cost that conventional analysis — focused on short-run indicators — systematically misses.</w:t>
      </w:r>
    </w:p>
    <w:p>
      <w:pPr>
        <w:spacing w:after="80" w:before="80"/>
      </w:pPr>
      <w:r>
        <w:t xml:space="preserve"/>
      </w:r>
    </w:p>
    <w:p>
      <w:pPr>
        <w:spacing w:after="140" w:before="360"/>
      </w:pPr>
      <w:r>
        <w:rPr>
          <w:rFonts w:ascii="Arial" w:cs="Arial" w:eastAsia="Arial" w:hAnsi="Arial"/>
          <w:b/>
          <w:bCs/>
          <w:color w:val="2E5FA3"/>
          <w:sz w:val="24"/>
          <w:szCs w:val="24"/>
        </w:rPr>
        <w:t xml:space="preserve">4.1  </w:t>
      </w:r>
      <w:r>
        <w:rPr>
          <w:rFonts w:ascii="Arial" w:cs="Arial" w:eastAsia="Arial" w:hAnsi="Arial"/>
          <w:b/>
          <w:bCs/>
          <w:color w:val="1B2A4A"/>
          <w:sz w:val="24"/>
          <w:szCs w:val="24"/>
        </w:rPr>
        <w:t xml:space="preserve">Three Channels of Self-Regulation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300"/>
        <w:gridCol w:w="2300"/>
      </w:tblGrid>
      <w:tr>
        <w:trPr>
          <w:tblHeader/>
        </w:trPr>
        <w:tc>
          <w:tcPr>
            <w:tcW w:type="dxa" w:w="18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Channel</w:t>
            </w:r>
          </w:p>
        </w:tc>
        <w:tc>
          <w:tcPr>
            <w:tcW w:type="dxa" w:w="28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Mechanism</w:t>
            </w:r>
          </w:p>
        </w:tc>
        <w:tc>
          <w:tcPr>
            <w:tcW w:type="dxa" w:w="23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Short-Run Effect on Re_s</w:t>
            </w:r>
          </w:p>
        </w:tc>
        <w:tc>
          <w:tcPr>
            <w:tcW w:type="dxa" w:w="23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Long-Run Structural Cost</w:t>
            </w:r>
          </w:p>
        </w:tc>
      </w:tr>
      <w:tr>
        <w:tc>
          <w:tcPr>
            <w:tcW w:type="dxa" w:w="1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Informality</w:t>
            </w:r>
          </w:p>
        </w:tc>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Parallel economy absorbs displaced workers; maintains consumption and household welfare outside formal channels</w:t>
            </w:r>
          </w:p>
        </w:tc>
        <w:tc>
          <w:tcPr>
            <w:tcW w:type="dxa" w:w="23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Δ ↓ (tension relieved), ν sustained, social collapse avoided</w:t>
            </w:r>
          </w:p>
        </w:tc>
        <w:tc>
          <w:tcPr>
            <w:tcW w:type="dxa" w:w="23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φ ↑ (friction rises), μ ↓ (tax base erodes, institutional capacity weakens), T accumulates</w:t>
            </w:r>
          </w:p>
        </w:tc>
      </w:tr>
      <w:tr>
        <w:tc>
          <w:tcPr>
            <w:tcW w:type="dxa" w:w="1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Functional friction</w:t>
            </w:r>
          </w:p>
        </w:tc>
        <w:tc>
          <w:tcPr>
            <w:tcW w:type="dxa" w:w="2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Informal payments and arrangements substitute for absent institutional capacity — 'lubricating' the system outside formal rules</w:t>
            </w:r>
          </w:p>
        </w:tc>
        <w:tc>
          <w:tcPr>
            <w:tcW w:type="dxa" w:w="23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System continues functioning; investment and activity sustained</w:t>
            </w:r>
          </w:p>
        </w:tc>
        <w:tc>
          <w:tcPr>
            <w:tcW w:type="dxa" w:w="23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φ² amplification accelerates above threshold; institutional trust collapses; formal mechanisms further undermined</w:t>
            </w:r>
          </w:p>
        </w:tc>
      </w:tr>
      <w:tr>
        <w:tc>
          <w:tcPr>
            <w:tcW w:type="dxa" w:w="1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Informal redistribution (Robin Hood effect)</w:t>
            </w:r>
          </w:p>
        </w:tc>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Family, community, and informal political networks transfer resources outside institutional channels, alleviating local tension</w:t>
            </w:r>
          </w:p>
        </w:tc>
        <w:tc>
          <w:tcPr>
            <w:tcW w:type="dxa" w:w="23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Local Δ ↓; social tension absorbed at community level; acute crisis avoided</w:t>
            </w:r>
          </w:p>
        </w:tc>
        <w:tc>
          <w:tcPr>
            <w:tcW w:type="dxa" w:w="23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Formal redistribution capacity (μ) further undermined; informal networks become structural load-bearers without maintenance capacity; T deepens</w:t>
            </w:r>
          </w:p>
        </w:tc>
      </w:tr>
    </w:tbl>
    <w:p>
      <w:pPr>
        <w:spacing w:after="80" w:before="80"/>
      </w:pPr>
      <w:r>
        <w:t xml:space="preserve"/>
      </w:r>
    </w:p>
    <w:p>
      <w:pPr>
        <w:spacing w:after="100" w:before="40"/>
        <w:ind w:left="300"/>
      </w:pPr>
      <w:r>
        <w:rPr>
          <w:rFonts w:ascii="Georgia" w:cs="Georgia" w:eastAsia="Georgia" w:hAnsi="Georgia"/>
          <w:i/>
          <w:iCs/>
          <w:color w:val="777777"/>
          <w:sz w:val="17"/>
          <w:szCs w:val="17"/>
        </w:rPr>
        <w:t xml:space="preserve">Table 5. Self-regulation channels and their temporal asymmetry. The short-run and long-run effects operate on different Re_s variables — which is precisely why conventional short-run analysis consistently underestimates their structural cost.</w:t>
      </w:r>
    </w:p>
    <w:p>
      <w:pPr>
        <w:spacing w:after="160" w:before="1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Robin Hood effect deserves specific theoretical attention because it appears in diverse cultural and institutional contexts as a near-universal response to formal system failure. The 1994-1995 Mexican peso crisis (Tequila Crisis) provides a clean historical illustration: the formal banking and institutional system experienced acute stress, but social and informal networks — family remittances, community mutual aid, informal marketplace activity — absorbed a substantial portion of the shock, preventing the social collapse that would have been predicted by purely formal-sector analysis. The short-run resilience was real. The structural cost was the deepening of informality as a normalized institutional substitute — increasing φ and reducing the μ of formal institutions relative to informal ones, a configuration that compounded future vulnerability.</w:t>
      </w:r>
    </w:p>
    <w:p>
      <w:pPr>
        <w:spacing w:after="80" w:before="80"/>
      </w:pPr>
      <w:r>
        <w:t xml:space="preserve"/>
      </w:r>
    </w:p>
    <w:p>
      <w:pPr>
        <w:spacing w:after="140" w:before="360"/>
      </w:pPr>
      <w:r>
        <w:rPr>
          <w:rFonts w:ascii="Arial" w:cs="Arial" w:eastAsia="Arial" w:hAnsi="Arial"/>
          <w:b/>
          <w:bCs/>
          <w:color w:val="2E5FA3"/>
          <w:sz w:val="24"/>
          <w:szCs w:val="24"/>
        </w:rPr>
        <w:t xml:space="preserve">4.2  </w:t>
      </w:r>
      <w:r>
        <w:rPr>
          <w:rFonts w:ascii="Arial" w:cs="Arial" w:eastAsia="Arial" w:hAnsi="Arial"/>
          <w:b/>
          <w:bCs/>
          <w:color w:val="1B2A4A"/>
          <w:sz w:val="24"/>
          <w:szCs w:val="24"/>
        </w:rPr>
        <w:t xml:space="preserve">Three Self-Regulation Regimes</w:t>
      </w:r>
    </w:p>
    <w:p>
      <w:pPr>
        <w:spacing w:after="60" w:before="60"/>
      </w:pPr>
      <w:r>
        <w:t xml:space="preserve"/>
      </w:r>
    </w:p>
    <w:p>
      <w:pPr>
        <w:pBdr>
          <w:left w:val="single" w:color="1A6B3A" w:sz="16" w:space="16"/>
        </w:pBdr>
        <w:shd w:fill="EEF8F2" w:val="clear"/>
        <w:spacing w:after="100" w:before="260"/>
        <w:ind w:left="200"/>
      </w:pPr>
      <w:r>
        <w:rPr>
          <w:rFonts w:ascii="Arial" w:cs="Arial" w:eastAsia="Arial" w:hAnsi="Arial"/>
          <w:b/>
          <w:bCs/>
          <w:color w:val="1A6B3A"/>
          <w:sz w:val="23"/>
          <w:szCs w:val="23"/>
        </w:rPr>
        <w:t xml:space="preserve">Regime 1: Healthy Self-Regulation</w:t>
      </w:r>
    </w:p>
    <w:p>
      <w:pPr>
        <w:spacing w:after="160" w:before="80" w:line="380"/>
        <w:jc w:val="both"/>
      </w:pPr>
      <w:r>
        <w:rPr>
          <w:rFonts w:ascii="Georgia" w:cs="Georgia" w:eastAsia="Georgia" w:hAnsi="Georgia"/>
          <w:b w:val="false"/>
          <w:bCs w:val="false"/>
          <w:i w:val="false"/>
          <w:iCs w:val="false"/>
          <w:color w:val="2D2D2D"/>
          <w:sz w:val="22"/>
          <w:szCs w:val="22"/>
        </w:rPr>
        <w:t xml:space="preserve">The system adjusts through formal institutional channels with sufficient μ to absorb stress without permanent deformation. φ remains low; T does not accumulate. The system returns to structural baseline after perturbation. Re_s indicators: Δ ↓ after shock, μ stable, φ stable or declining, T declining. This regime is sustainable indefinitely and structurally self-reinforcing. It is the target state of structural policy.</w:t>
      </w:r>
    </w:p>
    <w:p>
      <w:pPr>
        <w:spacing w:after="60" w:before="60"/>
      </w:pPr>
      <w:r>
        <w:t xml:space="preserve"/>
      </w:r>
    </w:p>
    <w:p>
      <w:pPr>
        <w:pBdr>
          <w:left w:val="single" w:color="C8922A" w:sz="16" w:space="16"/>
        </w:pBdr>
        <w:shd w:fill="FDF8EE" w:val="clear"/>
        <w:spacing w:after="100" w:before="260"/>
        <w:ind w:left="200"/>
      </w:pPr>
      <w:r>
        <w:rPr>
          <w:rFonts w:ascii="Arial" w:cs="Arial" w:eastAsia="Arial" w:hAnsi="Arial"/>
          <w:b/>
          <w:bCs/>
          <w:color w:val="C8922A"/>
          <w:sz w:val="23"/>
          <w:szCs w:val="23"/>
        </w:rPr>
        <w:t xml:space="preserve">Regime 2: Adaptive Self-Regulation (most common)</w:t>
      </w:r>
    </w:p>
    <w:p>
      <w:pPr>
        <w:spacing w:after="160" w:before="80" w:line="380"/>
        <w:jc w:val="both"/>
      </w:pPr>
      <w:r>
        <w:rPr>
          <w:rFonts w:ascii="Georgia" w:cs="Georgia" w:eastAsia="Georgia" w:hAnsi="Georgia"/>
          <w:b w:val="false"/>
          <w:bCs w:val="false"/>
          <w:i w:val="false"/>
          <w:iCs w:val="false"/>
          <w:color w:val="2D2D2D"/>
          <w:sz w:val="22"/>
          <w:szCs w:val="22"/>
        </w:rPr>
        <w:t xml:space="preserve">The system adjusts through informal channels. Tension (Δ) is relieved in the short run; activity (ν) is sustained; social collapse is avoided. But at a structural cost: φ rises, μ erodes slowly, and T accumulates. The system survives — but degrades. Each crisis cycle requires more informal adjustment and leaves less structural reserve. Re_s indicators: Δ temporarily ↓, μ gradually declining, φ gradually rising, T accumulating. The system appears stable by conventional short-run indicators while structurally deteriorating.</w:t>
      </w:r>
    </w:p>
    <w:p>
      <w:pPr>
        <w:spacing w:after="60" w:before="60"/>
      </w:pPr>
      <w:r>
        <w:t xml:space="preserve"/>
      </w:r>
    </w:p>
    <w:p>
      <w:pPr>
        <w:pBdr>
          <w:left w:val="single" w:color="B03020" w:sz="16" w:space="16"/>
        </w:pBdr>
        <w:shd w:fill="FDF0EE" w:val="clear"/>
        <w:spacing w:after="100" w:before="260"/>
        <w:ind w:left="200"/>
      </w:pPr>
      <w:r>
        <w:rPr>
          <w:rFonts w:ascii="Arial" w:cs="Arial" w:eastAsia="Arial" w:hAnsi="Arial"/>
          <w:b/>
          <w:bCs/>
          <w:color w:val="B03020"/>
          <w:sz w:val="23"/>
          <w:szCs w:val="23"/>
        </w:rPr>
        <w:t xml:space="preserve">Regime 3: Pathological Self-Regulation</w:t>
      </w:r>
    </w:p>
    <w:p>
      <w:pPr>
        <w:spacing w:after="160" w:before="80" w:line="380"/>
        <w:jc w:val="both"/>
      </w:pPr>
      <w:r>
        <w:rPr>
          <w:rFonts w:ascii="Georgia" w:cs="Georgia" w:eastAsia="Georgia" w:hAnsi="Georgia"/>
          <w:b w:val="false"/>
          <w:bCs w:val="false"/>
          <w:i w:val="false"/>
          <w:iCs w:val="false"/>
          <w:color w:val="2D2D2D"/>
          <w:sz w:val="22"/>
          <w:szCs w:val="22"/>
        </w:rPr>
        <w:t xml:space="preserve">The system maintains surface stability by actively destroying its own institutional capacity. Formal institutions are captured by informal networks. State redistributive functions are replaced by patronage. φ rises rapidly; μ collapses; T accumulates at accelerating rate. Re_s indicators: apparent stability, rapid μ collapse, φ → high, T → high, tax revenue declining as % of GDP, informal sector exceeding formal sector in employment and activity. The system appears functional while approaching structural failure threshold.</w:t>
      </w:r>
    </w:p>
    <w:p>
      <w:pPr>
        <w:spacing w:after="60" w:before="60"/>
      </w:pPr>
      <w:r>
        <w:t xml:space="preserve"/>
      </w:r>
    </w:p>
    <w:p>
      <w:pPr>
        <w:spacing w:after="80" w:before="80"/>
      </w:pPr>
      <w:r>
        <w:t xml:space="preserve"/>
      </w:r>
    </w:p>
    <w:p>
      <w:pPr>
        <w:spacing w:after="140" w:before="360"/>
      </w:pPr>
      <w:r>
        <w:rPr>
          <w:rFonts w:ascii="Arial" w:cs="Arial" w:eastAsia="Arial" w:hAnsi="Arial"/>
          <w:b/>
          <w:bCs/>
          <w:color w:val="2E5FA3"/>
          <w:sz w:val="24"/>
          <w:szCs w:val="24"/>
        </w:rPr>
        <w:t xml:space="preserve">4.3  </w:t>
      </w:r>
      <w:r>
        <w:rPr>
          <w:rFonts w:ascii="Arial" w:cs="Arial" w:eastAsia="Arial" w:hAnsi="Arial"/>
          <w:b/>
          <w:bCs/>
          <w:color w:val="1B2A4A"/>
          <w:sz w:val="24"/>
          <w:szCs w:val="24"/>
        </w:rPr>
        <w:t xml:space="preserve">Tax Revenue as Structural Diagnostic</w:t>
      </w:r>
    </w:p>
    <w:p>
      <w:pPr>
        <w:spacing w:after="60" w:before="6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Among observable indicators, sustained decline in tax revenue as a percentage of GDP is the single most reliable early signal of structural deterioration in the Re_s framework. It captures, in one observable variable, the combined effect of φ ↑ (growing informality), μ ↓ (weakening state capacity to enforce compliance), ν quality deteriorating (activity shifting to lower-productivity informal channels), and M fragmenting (fiscal base concentrating in fewer sectors and territories).</w:t>
      </w:r>
    </w:p>
    <w:p>
      <w:pPr>
        <w:pBdr>
          <w:top w:val="single" w:color="1A6B3A" w:sz="2"/>
          <w:bottom w:val="single" w:color="1A6B3A" w:sz="2"/>
          <w:left w:val="single" w:color="1A6B3A" w:sz="12"/>
          <w:right w:val="single" w:color="1A6B3A" w:sz="2"/>
        </w:pBdr>
        <w:shd w:fill="EEF8F2" w:val="clear"/>
        <w:spacing w:after="160" w:before="160" w:line="340"/>
        <w:ind w:left="360" w:right="200"/>
      </w:pPr>
      <w:r>
        <w:rPr>
          <w:rFonts w:ascii="Arial" w:cs="Arial" w:eastAsia="Arial" w:hAnsi="Arial"/>
          <w:b/>
          <w:bCs/>
          <w:color w:val="1A6B3A"/>
          <w:sz w:val="22"/>
          <w:szCs w:val="22"/>
        </w:rPr>
        <w:t xml:space="preserve">✦  </w:t>
      </w:r>
      <w:r>
        <w:rPr>
          <w:rFonts w:ascii="Georgia" w:cs="Georgia" w:eastAsia="Georgia" w:hAnsi="Georgia"/>
          <w:color w:val="1A6B3A"/>
          <w:sz w:val="21"/>
          <w:szCs w:val="21"/>
        </w:rPr>
        <w:t xml:space="preserve">The Re_s framework treats tax revenue not as a fiscal variable but as a structural health indicator — a measure of the system's capacity to extract resources from its own productive activity for collective institutional maintenance. When this capacity declines sustainably, the system is consuming its own structural substrate. It is the socioeconomic equivalent of a body metabolizing muscle mass to sustain immediate function.</w:t>
      </w:r>
    </w:p>
    <w:p>
      <w:pPr>
        <w:spacing w:after="80" w:before="80"/>
      </w:pPr>
      <w:r>
        <w:t xml:space="preserve"/>
      </w:r>
    </w:p>
    <w:p>
      <w:pPr>
        <w:spacing w:after="140" w:before="360"/>
      </w:pPr>
      <w:r>
        <w:rPr>
          <w:rFonts w:ascii="Arial" w:cs="Arial" w:eastAsia="Arial" w:hAnsi="Arial"/>
          <w:b/>
          <w:bCs/>
          <w:color w:val="2E5FA3"/>
          <w:sz w:val="24"/>
          <w:szCs w:val="24"/>
        </w:rPr>
        <w:t xml:space="preserve">4.4  </w:t>
      </w:r>
      <w:r>
        <w:rPr>
          <w:rFonts w:ascii="Arial" w:cs="Arial" w:eastAsia="Arial" w:hAnsi="Arial"/>
          <w:b/>
          <w:bCs/>
          <w:color w:val="1B2A4A"/>
          <w:sz w:val="24"/>
          <w:szCs w:val="24"/>
        </w:rPr>
        <w:t xml:space="preserve">Press Freedom as Structural Pain Signal</w:t>
      </w:r>
    </w:p>
    <w:p>
      <w:pPr>
        <w:spacing w:after="60" w:before="60"/>
      </w:pPr>
      <w:r>
        <w:t xml:space="preserve"/>
      </w:r>
    </w:p>
    <w:p>
      <w:pPr>
        <w:pBdr>
          <w:left w:val="single" w:color="B03020" w:sz="14" w:space="20"/>
        </w:pBdr>
        <w:spacing w:after="240" w:before="240" w:line="340"/>
        <w:ind w:left="900" w:right="900"/>
        <w:jc w:val="both"/>
      </w:pPr>
      <w:r>
        <w:rPr>
          <w:rFonts w:ascii="Georgia" w:cs="Georgia" w:eastAsia="Georgia" w:hAnsi="Georgia"/>
          <w:i/>
          <w:iCs/>
          <w:color w:val="B03020"/>
          <w:sz w:val="21"/>
          <w:szCs w:val="21"/>
        </w:rPr>
        <w:t xml:space="preserve">"The press is the pain signal of the system. Censorship is aspirin — it removes the signal, not the cause. And a body that cannot feel pain cannot locate the damage before it becomes fatal."</w:t>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Re_s framework assigns a specific structural role to press freedom and information flow: they function as the system's primary early-warning sensor. When structural stress rises — when Δ increases, φ amplifies, T accumulates — press activity registers it before formal indicators because journalists operate inside the social fabric and detect informal signals before they reach statistical measurement.</w:t>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Restriction of press freedom therefore has a structural consequence that goes beyond its normative dimension: it degrades the system's diagnostic capacity. Decision-makers operating without accurate pain signals cannot deploy corrective energy before structural thresholds are crossed. The result is systematically late response — correction arrives after the threshold, when the energy required for repair is exponentially higher than it would have been at first detection.</w:t>
      </w:r>
    </w:p>
    <w:p>
      <w:pPr>
        <w:spacing w:after="60" w:before="200"/>
        <w:ind w:left="600" w:right="600"/>
        <w:jc w:val="center"/>
      </w:pPr>
      <w:r>
        <w:rPr>
          <w:rFonts w:ascii="Georgia" w:cs="Georgia" w:eastAsia="Georgia" w:hAnsi="Georgia"/>
          <w:i/>
          <w:iCs/>
          <w:color w:val="3D5066"/>
          <w:sz w:val="22"/>
          <w:szCs w:val="22"/>
        </w:rPr>
        <w:t xml:space="preserve">"The simulator does not tell you what to do. It shows you what your decision will accumulate — structurally, invisibly, across the time horizon you cannot see from the electoral cycle."</w:t>
      </w:r>
    </w:p>
    <w:p>
      <w:pPr>
        <w:spacing w:after="320" w:before="0"/>
        <w:jc w:val="center"/>
      </w:pPr>
      <w:r>
        <w:rPr>
          <w:rFonts w:ascii="Georgia" w:cs="Georgia" w:eastAsia="Georgia" w:hAnsi="Georgia"/>
          <w:color w:val="999999"/>
          <w:sz w:val="19"/>
          <w:szCs w:val="19"/>
        </w:rPr>
        <w:t xml:space="preserve">— Re_s Framework — Simulator Design Principle</w:t>
      </w:r>
    </w:p>
    <w:p>
      <w:pPr>
        <w:pBdr>
          <w:bottom w:val="single" w:color="C8922A" w:sz="5" w:space="4"/>
        </w:pBdr>
        <w:spacing w:after="180" w:before="600"/>
      </w:pPr>
      <w:r>
        <w:rPr>
          <w:rFonts w:ascii="Arial" w:cs="Arial" w:eastAsia="Arial" w:hAnsi="Arial"/>
          <w:b/>
          <w:bCs/>
          <w:color w:val="C8922A"/>
          <w:sz w:val="30"/>
          <w:szCs w:val="30"/>
        </w:rPr>
        <w:t xml:space="preserve">5.  </w:t>
      </w:r>
      <w:r>
        <w:rPr>
          <w:rFonts w:ascii="Arial" w:cs="Arial" w:eastAsia="Arial" w:hAnsi="Arial"/>
          <w:b/>
          <w:bCs/>
          <w:color w:val="1B2A4A"/>
          <w:sz w:val="30"/>
          <w:szCs w:val="30"/>
        </w:rPr>
        <w:t xml:space="preserve">THE POLICY SIMULATOR — ARCHITECTURE AND DESIGN</w:t>
      </w:r>
    </w:p>
    <w:p>
      <w:pPr>
        <w:pBdr>
          <w:bottom w:val="single" w:color="2E5FA3" w:sz="6" w:space="1"/>
        </w:pBdr>
        <w:spacing w:after="80" w:before="80"/>
      </w:pPr>
      <w:r>
        <w:t xml:space="preserve"/>
      </w:r>
    </w:p>
    <w:p>
      <w:pPr>
        <w:spacing w:after="80" w:before="80"/>
      </w:pPr>
      <w:r>
        <w:t xml:space="preserve"/>
      </w:r>
    </w:p>
    <w:p>
      <w:pPr>
        <w:spacing w:after="160" w:before="80" w:line="380"/>
        <w:ind w:firstLine="720"/>
        <w:jc w:val="both"/>
      </w:pPr>
      <w:r>
        <w:rPr>
          <w:rFonts w:ascii="Georgia" w:cs="Georgia" w:eastAsia="Georgia" w:hAnsi="Georgia"/>
          <w:b w:val="false"/>
          <w:bCs w:val="false"/>
          <w:i w:val="false"/>
          <w:iCs w:val="false"/>
          <w:color w:val="2D2D2D"/>
          <w:sz w:val="22"/>
          <w:szCs w:val="22"/>
        </w:rPr>
        <w:t xml:space="preserve">The Re_s policy simulator is the practical implementation of the theoretical framework. Its core design is non-ideological: it evaluates any policy — regardless of its ideological origin, political framing, or stated intention — by its measurable structural consequences on the Re_s variables across time horizons that conventional political analysis cannot access.</w:t>
      </w:r>
    </w:p>
    <w:p>
      <w:pPr>
        <w:spacing w:after="140" w:before="360"/>
      </w:pPr>
      <w:r>
        <w:rPr>
          <w:rFonts w:ascii="Arial" w:cs="Arial" w:eastAsia="Arial" w:hAnsi="Arial"/>
          <w:b/>
          <w:bCs/>
          <w:color w:val="2E5FA3"/>
          <w:sz w:val="24"/>
          <w:szCs w:val="24"/>
        </w:rPr>
        <w:t xml:space="preserve">5.1  </w:t>
      </w:r>
      <w:r>
        <w:rPr>
          <w:rFonts w:ascii="Arial" w:cs="Arial" w:eastAsia="Arial" w:hAnsi="Arial"/>
          <w:b/>
          <w:bCs/>
          <w:color w:val="1B2A4A"/>
          <w:sz w:val="24"/>
          <w:szCs w:val="24"/>
        </w:rPr>
        <w:t xml:space="preserve">Design Principles</w:t>
      </w:r>
    </w:p>
    <w:p>
      <w:pPr>
        <w:spacing w:after="60" w:before="60"/>
      </w:pPr>
      <w:r>
        <w:t xml:space="preserve"/>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Non-ideological evaluation:  </w:t>
      </w:r>
      <w:r>
        <w:rPr>
          <w:rFonts w:ascii="Georgia" w:cs="Georgia" w:eastAsia="Georgia" w:hAnsi="Georgia"/>
          <w:color w:val="2D2D2D"/>
          <w:sz w:val="21"/>
          <w:szCs w:val="21"/>
        </w:rPr>
        <w:t xml:space="preserve">Any policy — fiscal austerity or social expansion, liberalization or protection, centralization or federalism — is evaluated by identical structural criteria: its measurable effects on Δ, ν, μ, φ, M, and T. The framework contains no ideological prior. A left-wing policy and a right-wing policy are structurally distinguishable only by their variable effects, not by their label.</w:t>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Consequence visibility, not prescription:  </w:t>
      </w:r>
      <w:r>
        <w:rPr>
          <w:rFonts w:ascii="Georgia" w:cs="Georgia" w:eastAsia="Georgia" w:hAnsi="Georgia"/>
          <w:color w:val="2D2D2D"/>
          <w:sz w:val="21"/>
          <w:szCs w:val="21"/>
        </w:rPr>
        <w:t xml:space="preserve">The simulator does not recommend policies. It renders visible the structural consequences of policies the decision-maker is considering — including the consequences that extend beyond their electoral horizon. The decision remains with the decision-maker; the simulator changes the information available to make it.</w:t>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Open modular architecture:  </w:t>
      </w:r>
      <w:r>
        <w:rPr>
          <w:rFonts w:ascii="Georgia" w:cs="Georgia" w:eastAsia="Georgia" w:hAnsi="Georgia"/>
          <w:color w:val="2D2D2D"/>
          <w:sz w:val="21"/>
          <w:szCs w:val="21"/>
        </w:rPr>
        <w:t xml:space="preserve">The central equation is fixed. The measurement modules for each variable are modular and updatable independently as better data sources or estimation methods become available. New sub-variables can be coupled to existing variables without modifying the core. This is the architecture of a system designed for growth, not a closed model claiming completeness.</w:t>
      </w:r>
    </w:p>
    <w:p>
      <w:pPr>
        <w:pBdr>
          <w:left w:val="single" w:color="C8922A" w:sz="14" w:space="16"/>
        </w:pBdr>
        <w:shd w:fill="FAFBFE" w:val="clear"/>
        <w:spacing w:after="120" w:before="120" w:line="340"/>
        <w:ind w:left="480" w:right="200"/>
      </w:pPr>
      <w:r>
        <w:rPr>
          <w:rFonts w:ascii="Arial" w:cs="Arial" w:eastAsia="Arial" w:hAnsi="Arial"/>
          <w:b/>
          <w:bCs/>
          <w:color w:val="1B2A4A"/>
          <w:sz w:val="21"/>
          <w:szCs w:val="21"/>
        </w:rPr>
        <w:t xml:space="preserve">Temporal separation of effects:  </w:t>
      </w:r>
      <w:r>
        <w:rPr>
          <w:rFonts w:ascii="Georgia" w:cs="Georgia" w:eastAsia="Georgia" w:hAnsi="Georgia"/>
          <w:color w:val="2D2D2D"/>
          <w:sz w:val="21"/>
          <w:szCs w:val="21"/>
        </w:rPr>
        <w:t xml:space="preserve">Short-run fluid effects (1–3 years) and medium-run structural effects (5–20 years) are displayed separately. The most important function of the simulator is making visible the structural costs that short-run analysis conceals — the T accumulation, the φ amplification, the μ erosion that occurs silently beneath stable-appearing surface indicators.</w:t>
      </w:r>
    </w:p>
    <w:p>
      <w:pPr>
        <w:spacing w:after="80" w:before="80"/>
      </w:pPr>
      <w:r>
        <w:t xml:space="preserve"/>
      </w:r>
    </w:p>
    <w:p>
      <w:pPr>
        <w:spacing w:after="140" w:before="360"/>
      </w:pPr>
      <w:r>
        <w:rPr>
          <w:rFonts w:ascii="Arial" w:cs="Arial" w:eastAsia="Arial" w:hAnsi="Arial"/>
          <w:b/>
          <w:bCs/>
          <w:color w:val="2E5FA3"/>
          <w:sz w:val="24"/>
          <w:szCs w:val="24"/>
        </w:rPr>
        <w:t xml:space="preserve">5.2  </w:t>
      </w:r>
      <w:r>
        <w:rPr>
          <w:rFonts w:ascii="Arial" w:cs="Arial" w:eastAsia="Arial" w:hAnsi="Arial"/>
          <w:b/>
          <w:bCs/>
          <w:color w:val="1B2A4A"/>
          <w:sz w:val="24"/>
          <w:szCs w:val="24"/>
        </w:rPr>
        <w:t xml:space="preserve">Five-Layer Architecture</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800"/>
      </w:tblGrid>
      <w:tr>
        <w:trPr>
          <w:tblHeader/>
        </w:trPr>
        <w:tc>
          <w:tcPr>
            <w:tcW w:type="dxa" w:w="16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Layer</w:t>
            </w:r>
          </w:p>
        </w:tc>
        <w:tc>
          <w:tcPr>
            <w:tcW w:type="dxa" w:w="24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Function</w:t>
            </w:r>
          </w:p>
        </w:tc>
        <w:tc>
          <w:tcPr>
            <w:tcW w:type="dxa" w:w="24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Inputs</w:t>
            </w:r>
          </w:p>
        </w:tc>
        <w:tc>
          <w:tcPr>
            <w:tcW w:type="dxa" w:w="2800"/>
            <w:tcBorders>
              <w:top w:val="single" w:color="D0D7E3" w:sz="1"/>
              <w:left w:val="single" w:color="D0D7E3" w:sz="1"/>
              <w:bottom w:val="single" w:color="D0D7E3" w:sz="1"/>
              <w:right w:val="single" w:color="D0D7E3" w:sz="1"/>
            </w:tcBorders>
            <w:shd w:fill="1B2A4A" w:val="clear"/>
            <w:tcMar>
              <w:top w:type="dxa" w:w="90"/>
              <w:left w:type="dxa" w:w="140"/>
              <w:bottom w:type="dxa" w:w="90"/>
              <w:right w:type="dxa" w:w="140"/>
            </w:tcMar>
          </w:tcPr>
          <w:p>
            <w:pPr>
              <w:spacing w:line="300"/>
            </w:pPr>
            <w:r>
              <w:rPr>
                <w:rFonts w:ascii="Arial" w:cs="Arial" w:eastAsia="Arial" w:hAnsi="Arial"/>
                <w:b/>
                <w:bCs/>
                <w:color w:val="FFFFFF"/>
                <w:sz w:val="18"/>
                <w:szCs w:val="18"/>
              </w:rPr>
              <w:t xml:space="preserve">Outputs</w:t>
            </w:r>
          </w:p>
        </w:tc>
      </w:tr>
      <w:tr>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1. Data Intake</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Load observable indicators; establish baseline structural state</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World Bank WDI, WGI, V-Dem, CPI, national statistics, survey data</w:t>
            </w:r>
          </w:p>
        </w:tc>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Baseline values for all five Re_s variables</w:t>
            </w:r>
          </w:p>
        </w:tc>
      </w:tr>
      <w:tr>
        <w:tc>
          <w:tcPr>
            <w:tcW w:type="dxa" w:w="1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2. Subvariable Engine</w:t>
            </w:r>
          </w:p>
        </w:tc>
        <w:tc>
          <w:tcPr>
            <w:tcW w:type="dxa" w:w="24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Decompose primary variables into measurable components; apply weighting methodology</w:t>
            </w:r>
          </w:p>
        </w:tc>
        <w:tc>
          <w:tcPr>
            <w:tcW w:type="dxa" w:w="24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Indicator databases, contextual parameters</w:t>
            </w:r>
          </w:p>
        </w:tc>
        <w:tc>
          <w:tcPr>
            <w:tcW w:type="dxa" w:w="2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Weighted composite scores per variable with uncertainty bounds</w:t>
            </w:r>
          </w:p>
        </w:tc>
      </w:tr>
      <w:tr>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3. Re_s Calculator</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Apply central equation; compute current structural state and component breakdown</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Variable scores from Layer 2</w:t>
            </w:r>
          </w:p>
        </w:tc>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Current Re_s index, component contribution analysis, variable interaction map</w:t>
            </w:r>
          </w:p>
        </w:tc>
      </w:tr>
      <w:tr>
        <w:tc>
          <w:tcPr>
            <w:tcW w:type="dxa" w:w="16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4. Intervention Module</w:t>
            </w:r>
          </w:p>
        </w:tc>
        <w:tc>
          <w:tcPr>
            <w:tcW w:type="dxa" w:w="24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Model user-defined policy decisions as energy inputs targeting specific variables</w:t>
            </w:r>
          </w:p>
        </w:tc>
        <w:tc>
          <w:tcPr>
            <w:tcW w:type="dxa" w:w="24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User-defined policy parameters: magnitude, duration, targeting</w:t>
            </w:r>
          </w:p>
        </w:tc>
        <w:tc>
          <w:tcPr>
            <w:tcW w:type="dxa" w:w="2800"/>
            <w:tcBorders>
              <w:top w:val="single" w:color="D0D7E3" w:sz="1"/>
              <w:left w:val="single" w:color="D0D7E3" w:sz="1"/>
              <w:bottom w:val="single" w:color="D0D7E3" w:sz="1"/>
              <w:right w:val="single" w:color="D0D7E3" w:sz="1"/>
            </w:tcBorders>
            <w:shd w:fill="FFFFFF"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Projected variable trajectories under intervention across 1, 5, 10, 20-year horizons</w:t>
            </w:r>
          </w:p>
        </w:tc>
      </w:tr>
      <w:tr>
        <w:tc>
          <w:tcPr>
            <w:tcW w:type="dxa" w:w="16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5. Consequence Engine</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Propagate effects through feedback structures; generate structural trajectory scenarios</w:t>
            </w:r>
          </w:p>
        </w:tc>
        <w:tc>
          <w:tcPr>
            <w:tcW w:type="dxa" w:w="24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Intervention parameters + current structural state + feedback parameters</w:t>
            </w:r>
          </w:p>
        </w:tc>
        <w:tc>
          <w:tcPr>
            <w:tcW w:type="dxa" w:w="2800"/>
            <w:tcBorders>
              <w:top w:val="single" w:color="D0D7E3" w:sz="1"/>
              <w:left w:val="single" w:color="D0D7E3" w:sz="1"/>
              <w:bottom w:val="single" w:color="D0D7E3" w:sz="1"/>
              <w:right w:val="single" w:color="D0D7E3" w:sz="1"/>
            </w:tcBorders>
            <w:shd w:fill="F4F6F9" w:val="clear"/>
            <w:tcMar>
              <w:top w:type="dxa" w:w="90"/>
              <w:left w:type="dxa" w:w="140"/>
              <w:bottom w:type="dxa" w:w="90"/>
              <w:right w:type="dxa" w:w="140"/>
            </w:tcMar>
          </w:tcPr>
          <w:p>
            <w:pPr>
              <w:spacing w:line="300"/>
            </w:pPr>
            <w:r>
              <w:rPr>
                <w:rFonts w:ascii="Georgia" w:cs="Georgia" w:eastAsia="Georgia" w:hAnsi="Georgia"/>
                <w:b w:val="false"/>
                <w:bCs w:val="false"/>
                <w:color w:val="2D2D2D"/>
                <w:sz w:val="19"/>
                <w:szCs w:val="19"/>
              </w:rPr>
              <w:t xml:space="preserve">Scenario comparison: status quo vs. intervention, short-run vs. structural, optimistic vs. stress-tested</w:t>
            </w:r>
          </w:p>
        </w:tc>
      </w:tr>
    </w:tbl>
    <w:p>
      <w:pPr>
        <w:spacing w:after="80" w:before="80"/>
      </w:pPr>
      <w:r>
        <w:t xml:space="preserve"/>
      </w:r>
    </w:p>
    <w:p>
      <w:pPr>
        <w:spacing w:after="100" w:before="40"/>
        <w:ind w:left="300"/>
      </w:pPr>
      <w:r>
        <w:rPr>
          <w:rFonts w:ascii="Georgia" w:cs="Georgia" w:eastAsia="Georgia" w:hAnsi="Georgia"/>
          <w:i/>
          <w:iCs/>
          <w:color w:val="777777"/>
          <w:sz w:val="17"/>
          <w:szCs w:val="17"/>
        </w:rPr>
        <w:t xml:space="preserve">Table 6. Re_s simulator architecture. The five layers are modular — each can be updated independently. The central equation in Layer 3 is fixed; everything else is designed for expansion.</w:t>
      </w:r>
    </w:p>
    <w:p>
      <w:pPr>
        <w:spacing w:after="160" w:before="160"/>
      </w:pPr>
      <w:r>
        <w:t xml:space="preserve"/>
      </w:r>
    </w:p>
    <w:p>
      <w:pPr>
        <w:spacing w:after="140" w:before="360"/>
      </w:pPr>
      <w:r>
        <w:rPr>
          <w:rFonts w:ascii="Arial" w:cs="Arial" w:eastAsia="Arial" w:hAnsi="Arial"/>
          <w:b/>
          <w:bCs/>
          <w:color w:val="2E5FA3"/>
          <w:sz w:val="24"/>
          <w:szCs w:val="24"/>
        </w:rPr>
        <w:t xml:space="preserve">5.3  </w:t>
      </w:r>
      <w:r>
        <w:rPr>
          <w:rFonts w:ascii="Arial" w:cs="Arial" w:eastAsia="Arial" w:hAnsi="Arial"/>
          <w:b/>
          <w:bCs/>
          <w:color w:val="1B2A4A"/>
          <w:sz w:val="24"/>
          <w:szCs w:val="24"/>
        </w:rPr>
        <w:t xml:space="preserve">Three Operating Modes</w:t>
      </w:r>
    </w:p>
    <w:p>
      <w:pPr>
        <w:spacing w:after="60" w:before="60"/>
      </w:pPr>
      <w:r>
        <w:t xml:space="preserve"/>
      </w:r>
    </w:p>
    <w:p>
      <w:pPr>
        <w:pBdr>
          <w:left w:val="single" w:color="2E5FA3" w:sz="12" w:space="12"/>
        </w:pBdr>
        <w:shd w:fill="EEF4FC" w:val="clear"/>
        <w:spacing w:after="100" w:before="260"/>
        <w:ind w:left="200" w:right="200"/>
      </w:pPr>
      <w:r>
        <w:rPr>
          <w:rFonts w:ascii="Arial" w:cs="Arial" w:eastAsia="Arial" w:hAnsi="Arial"/>
          <w:b/>
          <w:bCs/>
          <w:color w:val="2E5FA3"/>
          <w:sz w:val="22"/>
          <w:szCs w:val="22"/>
        </w:rPr>
        <w:t xml:space="preserve">MODE 1 — Structural Diagnosis</w:t>
      </w:r>
      <w:r>
        <w:rPr>
          <w:rFonts w:ascii="Georgia" w:cs="Georgia" w:eastAsia="Georgia" w:hAnsi="Georgia"/>
          <w:i/>
          <w:iCs/>
          <w:color w:val="888888"/>
          <w:sz w:val="20"/>
          <w:szCs w:val="20"/>
        </w:rPr>
        <w:t xml:space="preserve">  —  Where is the system now, structurally?</w:t>
      </w:r>
    </w:p>
    <w:p>
      <w:pPr>
        <w:spacing w:after="160" w:before="80" w:line="380"/>
        <w:jc w:val="both"/>
      </w:pPr>
      <w:r>
        <w:rPr>
          <w:rFonts w:ascii="Georgia" w:cs="Georgia" w:eastAsia="Georgia" w:hAnsi="Georgia"/>
          <w:b w:val="false"/>
          <w:bCs w:val="false"/>
          <w:i w:val="false"/>
          <w:iCs w:val="false"/>
          <w:color w:val="2D2D2D"/>
          <w:sz w:val="22"/>
          <w:szCs w:val="22"/>
        </w:rPr>
        <w:t xml:space="preserve">Loads current data, computes Re_s and all component variables, identifies the dominant structural risks (which variables are most elevated above historical baselines), and locates the system in the fluid/material/geological taxonomy. Produces a structural health report — comparable across countries and time periods — that identifies whether apparent stability reflects genuine structural health or concealed fatigue accumulation.</w:t>
      </w:r>
    </w:p>
    <w:p>
      <w:pPr>
        <w:spacing w:after="60" w:before="60"/>
      </w:pPr>
      <w:r>
        <w:t xml:space="preserve"/>
      </w:r>
    </w:p>
    <w:p>
      <w:pPr>
        <w:pBdr>
          <w:left w:val="single" w:color="C8922A" w:sz="12" w:space="12"/>
        </w:pBdr>
        <w:shd w:fill="FDF8EE" w:val="clear"/>
        <w:spacing w:after="100" w:before="260"/>
        <w:ind w:left="200" w:right="200"/>
      </w:pPr>
      <w:r>
        <w:rPr>
          <w:rFonts w:ascii="Arial" w:cs="Arial" w:eastAsia="Arial" w:hAnsi="Arial"/>
          <w:b/>
          <w:bCs/>
          <w:color w:val="C8922A"/>
          <w:sz w:val="22"/>
          <w:szCs w:val="22"/>
        </w:rPr>
        <w:t xml:space="preserve">MODE 2 — Intervention Simulation</w:t>
      </w:r>
      <w:r>
        <w:rPr>
          <w:rFonts w:ascii="Georgia" w:cs="Georgia" w:eastAsia="Georgia" w:hAnsi="Georgia"/>
          <w:i/>
          <w:iCs/>
          <w:color w:val="888888"/>
          <w:sz w:val="20"/>
          <w:szCs w:val="20"/>
        </w:rPr>
        <w:t xml:space="preserve">  —  What happens structurally if I implement this policy?</w:t>
      </w:r>
    </w:p>
    <w:p>
      <w:pPr>
        <w:spacing w:after="160" w:before="80" w:line="380"/>
        <w:jc w:val="both"/>
      </w:pPr>
      <w:r>
        <w:rPr>
          <w:rFonts w:ascii="Georgia" w:cs="Georgia" w:eastAsia="Georgia" w:hAnsi="Georgia"/>
          <w:b w:val="false"/>
          <w:bCs w:val="false"/>
          <w:i w:val="false"/>
          <w:iCs w:val="false"/>
          <w:color w:val="2D2D2D"/>
          <w:sz w:val="22"/>
          <w:szCs w:val="22"/>
        </w:rPr>
        <w:t xml:space="preserve">Takes a user-defined policy intervention — specified as an energy input targeting specific Re_s variables — and propagates its consequences through the feedback engine across multiple time horizons. Displays short-run fluid effects (1–3 years) separately from medium-run structural effects (5–20 years). Makes visible the structural costs — T accumulation, φ amplification, μ erosion — that short-run policy analysis systematically conceals.</w:t>
      </w:r>
    </w:p>
    <w:p>
      <w:pPr>
        <w:spacing w:after="60" w:before="60"/>
      </w:pPr>
      <w:r>
        <w:t xml:space="preserve"/>
      </w:r>
    </w:p>
    <w:p>
      <w:pPr>
        <w:pBdr>
          <w:left w:val="single" w:color="B03020" w:sz="12" w:space="12"/>
        </w:pBdr>
        <w:shd w:fill="FDF0EE" w:val="clear"/>
        <w:spacing w:after="100" w:before="260"/>
        <w:ind w:left="200" w:right="200"/>
      </w:pPr>
      <w:r>
        <w:rPr>
          <w:rFonts w:ascii="Arial" w:cs="Arial" w:eastAsia="Arial" w:hAnsi="Arial"/>
          <w:b/>
          <w:bCs/>
          <w:color w:val="B03020"/>
          <w:sz w:val="22"/>
          <w:szCs w:val="22"/>
        </w:rPr>
        <w:t xml:space="preserve">MODE 3 — Early Warning</w:t>
      </w:r>
      <w:r>
        <w:rPr>
          <w:rFonts w:ascii="Georgia" w:cs="Georgia" w:eastAsia="Georgia" w:hAnsi="Georgia"/>
          <w:i/>
          <w:iCs/>
          <w:color w:val="888888"/>
          <w:sz w:val="20"/>
          <w:szCs w:val="20"/>
        </w:rPr>
        <w:t xml:space="preserve">  —  What is accumulating invisibly right now?</w:t>
      </w:r>
    </w:p>
    <w:p>
      <w:pPr>
        <w:spacing w:after="160" w:before="80" w:line="380"/>
        <w:jc w:val="both"/>
      </w:pPr>
      <w:r>
        <w:rPr>
          <w:rFonts w:ascii="Georgia" w:cs="Georgia" w:eastAsia="Georgia" w:hAnsi="Georgia"/>
          <w:b w:val="false"/>
          <w:bCs w:val="false"/>
          <w:i w:val="false"/>
          <w:iCs w:val="false"/>
          <w:color w:val="2D2D2D"/>
          <w:sz w:val="22"/>
          <w:szCs w:val="22"/>
        </w:rPr>
        <w:t xml:space="preserve">Monitors T trajectory, φ amplification rate, and μ erosion trend to identify pre-crisis structural configurations before they produce observable crisis symptoms. Flags variable combinations associated with historical crisis precursors across comparable contexts. Designed for use by finance ministries, central banks, and multilateral institutions as a structural surveillance instrument — detecting the structural signature of approaching thresholds before conventional indicators register them.</w:t>
      </w:r>
    </w:p>
    <w:p>
      <w:pPr>
        <w:spacing w:after="60" w:before="60"/>
      </w:pPr>
      <w:r>
        <w:t xml:space="preserve"/>
      </w:r>
    </w:p>
    <w:p>
      <w:pPr>
        <w:pBdr>
          <w:bottom w:val="single" w:color="C8922A" w:sz="5" w:space="4"/>
        </w:pBdr>
        <w:spacing w:after="180" w:before="600"/>
      </w:pPr>
      <w:r>
        <w:rPr>
          <w:rFonts w:ascii="Arial" w:cs="Arial" w:eastAsia="Arial" w:hAnsi="Arial"/>
          <w:b/>
          <w:bCs/>
          <w:color w:val="C8922A"/>
          <w:sz w:val="30"/>
          <w:szCs w:val="30"/>
        </w:rPr>
        <w:t xml:space="preserve">6.  </w:t>
      </w:r>
      <w:r>
        <w:rPr>
          <w:rFonts w:ascii="Arial" w:cs="Arial" w:eastAsia="Arial" w:hAnsi="Arial"/>
          <w:b/>
          <w:bCs/>
          <w:color w:val="1B2A4A"/>
          <w:sz w:val="30"/>
          <w:szCs w:val="30"/>
        </w:rPr>
        <w:t xml:space="preserve">REFERENCES</w:t>
      </w:r>
    </w:p>
    <w:p>
      <w:pPr>
        <w:pBdr>
          <w:bottom w:val="single" w:color="2E5FA3" w:sz="6" w:space="1"/>
        </w:pBdr>
        <w:spacing w:after="80" w:before="80"/>
      </w:pPr>
      <w:r>
        <w:t xml:space="preserve"/>
      </w:r>
    </w:p>
    <w:p>
      <w:pPr>
        <w:spacing w:after="60" w:before="60"/>
      </w:pPr>
      <w:r>
        <w:t xml:space="preserve"/>
      </w:r>
    </w:p>
    <w:p>
      <w:pPr>
        <w:spacing w:after="60" w:before="60" w:line="300"/>
        <w:ind w:left="480" w:hanging="480"/>
      </w:pPr>
      <w:r>
        <w:rPr>
          <w:rFonts w:ascii="Georgia" w:cs="Georgia" w:eastAsia="Georgia" w:hAnsi="Georgia"/>
          <w:color w:val="2D2D2D"/>
          <w:sz w:val="19"/>
          <w:szCs w:val="19"/>
        </w:rPr>
        <w:t xml:space="preserve">Prigogine, I., &amp; Stengers, I. (1984). Order Out of Chaos: Man's New Dialogue with Nature. Bantam Books.</w:t>
      </w:r>
    </w:p>
    <w:p>
      <w:pPr>
        <w:spacing w:after="60" w:before="60" w:line="300"/>
        <w:ind w:left="480" w:hanging="480"/>
      </w:pPr>
      <w:r>
        <w:rPr>
          <w:rFonts w:ascii="Georgia" w:cs="Georgia" w:eastAsia="Georgia" w:hAnsi="Georgia"/>
          <w:color w:val="2D2D2D"/>
          <w:sz w:val="19"/>
          <w:szCs w:val="19"/>
        </w:rPr>
        <w:t xml:space="preserve">Georgescu-Roegen, N. (1971). The Entropy Law and the Economic Process. Harvard University Press.</w:t>
      </w:r>
    </w:p>
    <w:p>
      <w:pPr>
        <w:spacing w:after="60" w:before="60" w:line="300"/>
        <w:ind w:left="480" w:hanging="480"/>
      </w:pPr>
      <w:r>
        <w:rPr>
          <w:rFonts w:ascii="Georgia" w:cs="Georgia" w:eastAsia="Georgia" w:hAnsi="Georgia"/>
          <w:color w:val="2D2D2D"/>
          <w:sz w:val="19"/>
          <w:szCs w:val="19"/>
        </w:rPr>
        <w:t xml:space="preserve">Holland, J. H. (1992). Adaptation in Natural and Artificial Systems (2nd ed.). MIT Press.</w:t>
      </w:r>
    </w:p>
    <w:p>
      <w:pPr>
        <w:spacing w:after="60" w:before="60" w:line="300"/>
        <w:ind w:left="480" w:hanging="480"/>
      </w:pPr>
      <w:r>
        <w:rPr>
          <w:rFonts w:ascii="Georgia" w:cs="Georgia" w:eastAsia="Georgia" w:hAnsi="Georgia"/>
          <w:color w:val="2D2D2D"/>
          <w:sz w:val="19"/>
          <w:szCs w:val="19"/>
        </w:rPr>
        <w:t xml:space="preserve">Arthur, W. B. (1994). Increasing Returns and Path Dependence in the Economy. University of Michigan Press.</w:t>
      </w:r>
    </w:p>
    <w:p>
      <w:pPr>
        <w:spacing w:after="60" w:before="60" w:line="300"/>
        <w:ind w:left="480" w:hanging="480"/>
      </w:pPr>
      <w:r>
        <w:rPr>
          <w:rFonts w:ascii="Georgia" w:cs="Georgia" w:eastAsia="Georgia" w:hAnsi="Georgia"/>
          <w:color w:val="2D2D2D"/>
          <w:sz w:val="19"/>
          <w:szCs w:val="19"/>
        </w:rPr>
        <w:t xml:space="preserve">North, D. C. (1990). Institutions, Institutional Change and Economic Performance. Cambridge University Press.</w:t>
      </w:r>
    </w:p>
    <w:p>
      <w:pPr>
        <w:spacing w:after="60" w:before="60" w:line="300"/>
        <w:ind w:left="480" w:hanging="480"/>
      </w:pPr>
      <w:r>
        <w:rPr>
          <w:rFonts w:ascii="Georgia" w:cs="Georgia" w:eastAsia="Georgia" w:hAnsi="Georgia"/>
          <w:color w:val="2D2D2D"/>
          <w:sz w:val="19"/>
          <w:szCs w:val="19"/>
        </w:rPr>
        <w:t xml:space="preserve">Ostrom, E. (1990). Governing the Commons: The Evolution of Institutions for Collective Action. Cambridge University Press.</w:t>
      </w:r>
    </w:p>
    <w:p>
      <w:pPr>
        <w:spacing w:after="60" w:before="60" w:line="300"/>
        <w:ind w:left="480" w:hanging="480"/>
      </w:pPr>
      <w:r>
        <w:rPr>
          <w:rFonts w:ascii="Georgia" w:cs="Georgia" w:eastAsia="Georgia" w:hAnsi="Georgia"/>
          <w:color w:val="2D2D2D"/>
          <w:sz w:val="19"/>
          <w:szCs w:val="19"/>
        </w:rPr>
        <w:t xml:space="preserve">Acemoglu, D., &amp; Robinson, J. A. (2012). Why Nations Fail: The Origins of Power, Prosperity, and Poverty. Crown Publishers.</w:t>
      </w:r>
    </w:p>
    <w:p>
      <w:pPr>
        <w:spacing w:after="60" w:before="60" w:line="300"/>
        <w:ind w:left="480" w:hanging="480"/>
      </w:pPr>
      <w:r>
        <w:rPr>
          <w:rFonts w:ascii="Georgia" w:cs="Georgia" w:eastAsia="Georgia" w:hAnsi="Georgia"/>
          <w:color w:val="2D2D2D"/>
          <w:sz w:val="19"/>
          <w:szCs w:val="19"/>
        </w:rPr>
        <w:t xml:space="preserve">Taleb, N. N. (2012). Antifragile: Things That Gain from Disorder. Random House.</w:t>
      </w:r>
    </w:p>
    <w:p>
      <w:pPr>
        <w:spacing w:after="60" w:before="60" w:line="300"/>
        <w:ind w:left="480" w:hanging="480"/>
      </w:pPr>
      <w:r>
        <w:rPr>
          <w:rFonts w:ascii="Georgia" w:cs="Georgia" w:eastAsia="Georgia" w:hAnsi="Georgia"/>
          <w:color w:val="2D2D2D"/>
          <w:sz w:val="19"/>
          <w:szCs w:val="19"/>
        </w:rPr>
        <w:t xml:space="preserve">Walker, B., &amp; Salt, D. (2006). Resilience Thinking: Sustaining Ecosystems and People in a Changing World. Island Press.</w:t>
      </w:r>
    </w:p>
    <w:p>
      <w:pPr>
        <w:spacing w:after="60" w:before="60" w:line="300"/>
        <w:ind w:left="480" w:hanging="480"/>
      </w:pPr>
      <w:r>
        <w:rPr>
          <w:rFonts w:ascii="Georgia" w:cs="Georgia" w:eastAsia="Georgia" w:hAnsi="Georgia"/>
          <w:color w:val="2D2D2D"/>
          <w:sz w:val="19"/>
          <w:szCs w:val="19"/>
        </w:rPr>
        <w:t xml:space="preserve">Bhaskar, R. (1975). A Realist Theory of Science. Leeds Books.</w:t>
      </w:r>
    </w:p>
    <w:p>
      <w:pPr>
        <w:spacing w:after="60" w:before="60" w:line="300"/>
        <w:ind w:left="480" w:hanging="480"/>
      </w:pPr>
      <w:r>
        <w:rPr>
          <w:rFonts w:ascii="Georgia" w:cs="Georgia" w:eastAsia="Georgia" w:hAnsi="Georgia"/>
          <w:color w:val="2D2D2D"/>
          <w:sz w:val="19"/>
          <w:szCs w:val="19"/>
        </w:rPr>
        <w:t xml:space="preserve">Lawson, T. (1997). Economics and Reality. Routledge.</w:t>
      </w:r>
    </w:p>
    <w:p>
      <w:pPr>
        <w:spacing w:after="60" w:before="60" w:line="300"/>
        <w:ind w:left="480" w:hanging="480"/>
      </w:pPr>
      <w:r>
        <w:rPr>
          <w:rFonts w:ascii="Georgia" w:cs="Georgia" w:eastAsia="Georgia" w:hAnsi="Georgia"/>
          <w:color w:val="2D2D2D"/>
          <w:sz w:val="19"/>
          <w:szCs w:val="19"/>
        </w:rPr>
        <w:t xml:space="preserve">Suresh, S. (1998). Fatigue of Materials (2nd ed.). Cambridge University Press.</w:t>
      </w:r>
    </w:p>
    <w:p>
      <w:pPr>
        <w:spacing w:after="60" w:before="60" w:line="300"/>
        <w:ind w:left="480" w:hanging="480"/>
      </w:pPr>
      <w:r>
        <w:rPr>
          <w:rFonts w:ascii="Georgia" w:cs="Georgia" w:eastAsia="Georgia" w:hAnsi="Georgia"/>
          <w:color w:val="2D2D2D"/>
          <w:sz w:val="19"/>
          <w:szCs w:val="19"/>
        </w:rPr>
        <w:t xml:space="preserve">Ashby, M. F., &amp; Jones, D. R. H. (2012). Engineering Materials 1: An Introduction to Properties, Applications and Design (4th ed.). Butterworth-Heinemann.</w:t>
      </w:r>
    </w:p>
    <w:p>
      <w:pPr>
        <w:spacing w:after="60" w:before="60" w:line="300"/>
        <w:ind w:left="480" w:hanging="480"/>
      </w:pPr>
      <w:r>
        <w:rPr>
          <w:rFonts w:ascii="Georgia" w:cs="Georgia" w:eastAsia="Georgia" w:hAnsi="Georgia"/>
          <w:color w:val="2D2D2D"/>
          <w:sz w:val="19"/>
          <w:szCs w:val="19"/>
        </w:rPr>
        <w:t xml:space="preserve">Bockstette, V., Chanda, A., &amp; Putterman, L. (2002). States and Markets: The Advantage of an Early Start. Journal of Economic Growth, 7(4), 347–369.</w:t>
      </w:r>
    </w:p>
    <w:p>
      <w:pPr>
        <w:spacing w:after="60" w:before="60" w:line="300"/>
        <w:ind w:left="480" w:hanging="480"/>
      </w:pPr>
      <w:r>
        <w:rPr>
          <w:rFonts w:ascii="Georgia" w:cs="Georgia" w:eastAsia="Georgia" w:hAnsi="Georgia"/>
          <w:color w:val="2D2D2D"/>
          <w:sz w:val="19"/>
          <w:szCs w:val="19"/>
        </w:rPr>
        <w:t xml:space="preserve">Putnam, R. D. (1993). Making Democracy Work: Civic Traditions in Modern Italy. Princeton University Press.</w:t>
      </w:r>
    </w:p>
    <w:p>
      <w:pPr>
        <w:spacing w:after="60" w:before="60" w:line="300"/>
        <w:ind w:left="480" w:hanging="480"/>
      </w:pPr>
      <w:r>
        <w:rPr>
          <w:rFonts w:ascii="Georgia" w:cs="Georgia" w:eastAsia="Georgia" w:hAnsi="Georgia"/>
          <w:color w:val="2D2D2D"/>
          <w:sz w:val="19"/>
          <w:szCs w:val="19"/>
        </w:rPr>
        <w:t xml:space="preserve">Kennedy, P. (1987). The Rise and Fall of the Great Powers. Random House.</w:t>
      </w:r>
    </w:p>
    <w:p>
      <w:pPr>
        <w:spacing w:after="60" w:before="60" w:line="300"/>
        <w:ind w:left="480" w:hanging="480"/>
      </w:pPr>
      <w:r>
        <w:rPr>
          <w:rFonts w:ascii="Georgia" w:cs="Georgia" w:eastAsia="Georgia" w:hAnsi="Georgia"/>
          <w:color w:val="2D2D2D"/>
          <w:sz w:val="19"/>
          <w:szCs w:val="19"/>
        </w:rPr>
        <w:t xml:space="preserve">Huntington, S. P. (1996). The Clash of Civilizations and the Remaking of World Order. Simon &amp; Schuster.</w:t>
      </w:r>
    </w:p>
    <w:p>
      <w:pPr>
        <w:spacing w:after="60" w:before="60" w:line="300"/>
        <w:ind w:left="480" w:hanging="480"/>
      </w:pPr>
      <w:r>
        <w:rPr>
          <w:rFonts w:ascii="Georgia" w:cs="Georgia" w:eastAsia="Georgia" w:hAnsi="Georgia"/>
          <w:color w:val="2D2D2D"/>
          <w:sz w:val="19"/>
          <w:szCs w:val="19"/>
        </w:rPr>
        <w:t xml:space="preserve">Coppedge, M., et al. (2024). V-Dem Dataset v14. Varieties of Democracy (V-Dem) Project. University of Gothenburg.</w:t>
      </w:r>
    </w:p>
    <w:p>
      <w:pPr>
        <w:spacing w:after="60" w:before="60" w:line="300"/>
        <w:ind w:left="480" w:hanging="480"/>
      </w:pPr>
      <w:r>
        <w:rPr>
          <w:rFonts w:ascii="Georgia" w:cs="Georgia" w:eastAsia="Georgia" w:hAnsi="Georgia"/>
          <w:color w:val="2D2D2D"/>
          <w:sz w:val="19"/>
          <w:szCs w:val="19"/>
        </w:rPr>
        <w:t xml:space="preserve">Kaufmann, D., Kraay, A., &amp; Mastruzzi, M. (2010). The Worldwide Governance Indicators: Methodology and Analytical Issues. World Bank Policy Research Working Paper 5430.</w:t>
      </w:r>
    </w:p>
    <w:p>
      <w:pPr>
        <w:spacing w:after="60" w:before="60" w:line="300"/>
        <w:ind w:left="480" w:hanging="480"/>
      </w:pPr>
      <w:r>
        <w:rPr>
          <w:rFonts w:ascii="Georgia" w:cs="Georgia" w:eastAsia="Georgia" w:hAnsi="Georgia"/>
          <w:color w:val="2D2D2D"/>
          <w:sz w:val="19"/>
          <w:szCs w:val="19"/>
        </w:rPr>
        <w:t xml:space="preserve">Laeven, L., &amp; Valencia, F. (2020). Systemic Banking Crises Database II. IMF Economic Review, 68, 307–361.</w:t>
      </w:r>
    </w:p>
    <w:p>
      <w:pPr>
        <w:spacing w:after="60" w:before="60" w:line="300"/>
        <w:ind w:left="480" w:hanging="480"/>
      </w:pPr>
      <w:r>
        <w:rPr>
          <w:rFonts w:ascii="Georgia" w:cs="Georgia" w:eastAsia="Georgia" w:hAnsi="Georgia"/>
          <w:color w:val="2D2D2D"/>
          <w:sz w:val="19"/>
          <w:szCs w:val="19"/>
        </w:rPr>
        <w:t xml:space="preserve">Schneider, F., &amp; Enste, D. H. (2000). Shadow Economies: Size, Causes, and Consequences. Journal of Economic Literature, 38(1), 77–114.</w:t>
      </w:r>
    </w:p>
    <w:p>
      <w:pPr>
        <w:spacing w:after="60" w:before="60" w:line="300"/>
        <w:ind w:left="480" w:hanging="480"/>
      </w:pPr>
      <w:r>
        <w:rPr>
          <w:rFonts w:ascii="Georgia" w:cs="Georgia" w:eastAsia="Georgia" w:hAnsi="Georgia"/>
          <w:color w:val="2D2D2D"/>
          <w:sz w:val="19"/>
          <w:szCs w:val="19"/>
        </w:rPr>
        <w:t xml:space="preserve">Transparency International. (2024). Corruption Perceptions Index 2024. Berlin: Transparency International.</w:t>
      </w:r>
    </w:p>
    <w:p>
      <w:pPr>
        <w:spacing w:after="60" w:before="60" w:line="300"/>
        <w:ind w:left="480" w:hanging="480"/>
      </w:pPr>
      <w:r>
        <w:rPr>
          <w:rFonts w:ascii="Georgia" w:cs="Georgia" w:eastAsia="Georgia" w:hAnsi="Georgia"/>
          <w:color w:val="2D2D2D"/>
          <w:sz w:val="19"/>
          <w:szCs w:val="19"/>
        </w:rPr>
        <w:t xml:space="preserve">World Bank. (2024). World Development Indicators. Washington DC: World Bank Group.</w:t>
      </w:r>
    </w:p>
    <w:p>
      <w:pPr>
        <w:spacing w:after="300" w:before="300"/>
      </w:pPr>
      <w:r>
        <w:t xml:space="preserve"/>
      </w:r>
    </w:p>
    <w:p>
      <w:pPr>
        <w:pBdr>
          <w:bottom w:val="single" w:color="C8922A" w:sz="8" w:space="1"/>
        </w:pBdr>
        <w:spacing w:after="80" w:before="80"/>
      </w:pPr>
      <w:r>
        <w:t xml:space="preserve"/>
      </w:r>
    </w:p>
    <w:p>
      <w:pPr>
        <w:spacing w:after="140" w:before="140"/>
      </w:pPr>
      <w:r>
        <w:t xml:space="preserve"/>
      </w:r>
    </w:p>
    <w:p>
      <w:pPr>
        <w:spacing w:after="160" w:before="200"/>
      </w:pPr>
      <w:r>
        <w:rPr>
          <w:rFonts w:ascii="Arial" w:cs="Arial" w:eastAsia="Arial" w:hAnsi="Arial"/>
          <w:b/>
          <w:bCs/>
          <w:color w:val="1B2A4A"/>
          <w:sz w:val="20"/>
          <w:szCs w:val="20"/>
        </w:rPr>
        <w:t xml:space="preserve">KEY PROPOSITIONS OF THE Re_s FRAMEWORK</w:t>
      </w:r>
    </w:p>
    <w:p>
      <w:pPr>
        <w:pBdr>
          <w:left w:val="single" w:color="C8922A" w:sz="8" w:space="16"/>
        </w:pBdr>
        <w:spacing w:after="100" w:before="100" w:line="340"/>
        <w:ind w:left="480"/>
      </w:pPr>
      <w:r>
        <w:rPr>
          <w:rFonts w:ascii="Georgia" w:cs="Georgia" w:eastAsia="Georgia" w:hAnsi="Georgia"/>
          <w:i/>
          <w:iCs/>
          <w:color w:val="1B2A4A"/>
          <w:sz w:val="20"/>
          <w:szCs w:val="20"/>
        </w:rPr>
        <w:t xml:space="preserve">"The major schools of economic thought are not wrong. They are incomplete — and their incompleteness follows a structural pattern: they underweight variables that operate at temporal scales their instruments cannot see."</w:t>
      </w:r>
    </w:p>
    <w:p>
      <w:pPr>
        <w:pBdr>
          <w:left w:val="single" w:color="C8922A" w:sz="8" w:space="16"/>
        </w:pBdr>
        <w:spacing w:after="100" w:before="100" w:line="340"/>
        <w:ind w:left="480"/>
      </w:pPr>
      <w:r>
        <w:rPr>
          <w:rFonts w:ascii="Georgia" w:cs="Georgia" w:eastAsia="Georgia" w:hAnsi="Georgia"/>
          <w:i/>
          <w:iCs/>
          <w:color w:val="1B2A4A"/>
          <w:sz w:val="20"/>
          <w:szCs w:val="20"/>
        </w:rPr>
        <w:t xml:space="preserve">"The flows of today build the structure of tomorrow. The structure of tomorrow determines whether the flows of the day after are possible."</w:t>
      </w:r>
    </w:p>
    <w:p>
      <w:pPr>
        <w:pBdr>
          <w:left w:val="single" w:color="C8922A" w:sz="8" w:space="16"/>
        </w:pBdr>
        <w:spacing w:after="100" w:before="100" w:line="340"/>
        <w:ind w:left="480"/>
      </w:pPr>
      <w:r>
        <w:rPr>
          <w:rFonts w:ascii="Georgia" w:cs="Georgia" w:eastAsia="Georgia" w:hAnsi="Georgia"/>
          <w:i/>
          <w:iCs/>
          <w:color w:val="1B2A4A"/>
          <w:sz w:val="20"/>
          <w:szCs w:val="20"/>
        </w:rPr>
        <w:t xml:space="preserve">"The informality saves the present. And destroys the future."</w:t>
      </w:r>
    </w:p>
    <w:p>
      <w:pPr>
        <w:pBdr>
          <w:left w:val="single" w:color="C8922A" w:sz="8" w:space="16"/>
        </w:pBdr>
        <w:spacing w:after="100" w:before="100" w:line="340"/>
        <w:ind w:left="480"/>
      </w:pPr>
      <w:r>
        <w:rPr>
          <w:rFonts w:ascii="Georgia" w:cs="Georgia" w:eastAsia="Georgia" w:hAnsi="Georgia"/>
          <w:i/>
          <w:iCs/>
          <w:color w:val="1B2A4A"/>
          <w:sz w:val="20"/>
          <w:szCs w:val="20"/>
        </w:rPr>
        <w:t xml:space="preserve">"You cannot change matter directly. You can only modify it through energy — directed, sustained, and calibrated to the structural properties of the receiving system."</w:t>
      </w:r>
    </w:p>
    <w:p>
      <w:pPr>
        <w:pBdr>
          <w:left w:val="single" w:color="C8922A" w:sz="8" w:space="16"/>
        </w:pBdr>
        <w:spacing w:after="100" w:before="100" w:line="340"/>
        <w:ind w:left="480"/>
      </w:pPr>
      <w:r>
        <w:rPr>
          <w:rFonts w:ascii="Georgia" w:cs="Georgia" w:eastAsia="Georgia" w:hAnsi="Georgia"/>
          <w:i/>
          <w:iCs/>
          <w:color w:val="1B2A4A"/>
          <w:sz w:val="20"/>
          <w:szCs w:val="20"/>
        </w:rPr>
        <w:t xml:space="preserve">"The press is the pain signal of the system. Censorship is aspirin — it removes the signal, not the cause."</w:t>
      </w:r>
    </w:p>
    <w:p>
      <w:pPr>
        <w:pBdr>
          <w:left w:val="single" w:color="C8922A" w:sz="8" w:space="16"/>
        </w:pBdr>
        <w:spacing w:after="100" w:before="100" w:line="340"/>
        <w:ind w:left="480"/>
      </w:pPr>
      <w:r>
        <w:rPr>
          <w:rFonts w:ascii="Georgia" w:cs="Georgia" w:eastAsia="Georgia" w:hAnsi="Georgia"/>
          <w:i/>
          <w:iCs/>
          <w:color w:val="1B2A4A"/>
          <w:sz w:val="20"/>
          <w:szCs w:val="20"/>
        </w:rPr>
        <w:t xml:space="preserve">"Accumulated fatigue defines the threshold of collapse. Not the triggering event."</w:t>
      </w:r>
    </w:p>
    <w:p>
      <w:pPr>
        <w:pBdr>
          <w:left w:val="single" w:color="C8922A" w:sz="8" w:space="16"/>
        </w:pBdr>
        <w:spacing w:after="100" w:before="100" w:line="340"/>
        <w:ind w:left="480"/>
      </w:pPr>
      <w:r>
        <w:rPr>
          <w:rFonts w:ascii="Georgia" w:cs="Georgia" w:eastAsia="Georgia" w:hAnsi="Georgia"/>
          <w:i/>
          <w:iCs/>
          <w:color w:val="1B2A4A"/>
          <w:sz w:val="20"/>
          <w:szCs w:val="20"/>
        </w:rPr>
        <w:t xml:space="preserve">"The system does not collapse when it runs out of money. It collapses when it loses the capacity to obtain or manage it."</w:t>
      </w:r>
    </w:p>
    <w:p>
      <w:pPr>
        <w:pBdr>
          <w:left w:val="single" w:color="C8922A" w:sz="8" w:space="16"/>
        </w:pBdr>
        <w:spacing w:after="100" w:before="100" w:line="340"/>
        <w:ind w:left="480"/>
      </w:pPr>
      <w:r>
        <w:rPr>
          <w:rFonts w:ascii="Georgia" w:cs="Georgia" w:eastAsia="Georgia" w:hAnsi="Georgia"/>
          <w:i/>
          <w:iCs/>
          <w:color w:val="1B2A4A"/>
          <w:sz w:val="20"/>
          <w:szCs w:val="20"/>
        </w:rPr>
        <w:t xml:space="preserve">"Physics does not tell us what society is. It tells us what forms complexity takes — and we use those forms as a mirror, not as a definition."</w:t>
      </w:r>
    </w:p>
    <w:p>
      <w:pPr>
        <w:spacing w:after="200" w:before="200"/>
      </w:pPr>
      <w:r>
        <w:t xml:space="preserve"/>
      </w:r>
    </w:p>
    <w:sectPr>
      <w:headerReference w:type="default" r:id="rId11"/>
      <w:footerReference w:type="default" r:id="rId12"/>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spacing w:before="100"/>
      <w:jc w:val="center"/>
    </w:pPr>
    <w:r>
      <w:rPr>
        <w:rFonts w:ascii="Arial" w:cs="Arial" w:eastAsia="Arial" w:hAnsi="Arial"/>
        <w:color w:val="999999"/>
        <w:sz w:val="16"/>
        <w:szCs w:val="16"/>
      </w:rPr>
      <w:t xml:space="preserve">Structural Mechanics of Socioeconomic Systems  |  Re_s Framework  |  Working Paper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spacing w:before="100"/>
      <w:jc w:val="center"/>
    </w:pPr>
    <w:r>
      <w:rPr>
        <w:rFonts w:ascii="Arial" w:cs="Arial" w:eastAsia="Arial" w:hAnsi="Arial"/>
        <w:color w:val="999999"/>
        <w:sz w:val="16"/>
        <w:szCs w:val="16"/>
      </w:rPr>
      <w:t xml:space="preserve">Structural Mechanics of Socioeconomic Systems  |  Re_s Framework  |  Working Paper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1"/>
      </w:pBdr>
      <w:spacing w:before="100"/>
      <w:jc w:val="center"/>
    </w:pPr>
    <w:r>
      <w:rPr>
        <w:rFonts w:ascii="Arial" w:cs="Arial" w:eastAsia="Arial" w:hAnsi="Arial"/>
        <w:color w:val="999999"/>
        <w:sz w:val="16"/>
        <w:szCs w:val="16"/>
      </w:rPr>
      <w:t xml:space="preserve">Structural Mechanics of Socioeconomic Systems  |  Re_s Framework  |  Working Paper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1"/>
      </w:pBdr>
      <w:spacing w:after="100"/>
    </w:pPr>
    <w:r>
      <w:rPr>
        <w:rFonts w:ascii="Arial" w:cs="Arial" w:eastAsia="Arial" w:hAnsi="Arial"/>
        <w:color w:val="888888"/>
        <w:sz w:val="17"/>
        <w:szCs w:val="17"/>
      </w:rPr>
      <w:t xml:space="preserve">Re_s Framework  |  Working Paper</w:t>
    </w:r>
    <w:r>
      <w:rPr>
        <w:rFonts w:ascii="Arial" w:cs="Arial" w:eastAsia="Arial" w:hAnsi="Arial"/>
        <w:i/>
        <w:iCs/>
        <w:color w:val="AAAAAA"/>
        <w:sz w:val="17"/>
        <w:szCs w:val="17"/>
      </w:rPr>
      <w:t xml:space="preserve">  —  Abstract &amp; Section 1: The Phenomenology Problem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1"/>
      </w:pBdr>
      <w:spacing w:after="100"/>
    </w:pPr>
    <w:r>
      <w:rPr>
        <w:rFonts w:ascii="Arial" w:cs="Arial" w:eastAsia="Arial" w:hAnsi="Arial"/>
        <w:color w:val="888888"/>
        <w:sz w:val="17"/>
        <w:szCs w:val="17"/>
      </w:rPr>
      <w:t xml:space="preserve">Re_s Framework  |  Working Paper</w:t>
    </w:r>
    <w:r>
      <w:rPr>
        <w:rFonts w:ascii="Arial" w:cs="Arial" w:eastAsia="Arial" w:hAnsi="Arial"/>
        <w:i/>
        <w:iCs/>
        <w:color w:val="AAAAAA"/>
        <w:sz w:val="17"/>
        <w:szCs w:val="17"/>
      </w:rPr>
      <w:t xml:space="preserve">  —  Section 2: Physical Taxonomy  |  Section 3: The Formal Model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1"/>
      </w:pBdr>
      <w:spacing w:after="100"/>
    </w:pPr>
    <w:r>
      <w:rPr>
        <w:rFonts w:ascii="Arial" w:cs="Arial" w:eastAsia="Arial" w:hAnsi="Arial"/>
        <w:color w:val="888888"/>
        <w:sz w:val="17"/>
        <w:szCs w:val="17"/>
      </w:rPr>
      <w:t xml:space="preserve">Re_s Framework  |  Working Paper</w:t>
    </w:r>
    <w:r>
      <w:rPr>
        <w:rFonts w:ascii="Arial" w:cs="Arial" w:eastAsia="Arial" w:hAnsi="Arial"/>
        <w:i/>
        <w:iCs/>
        <w:color w:val="AAAAAA"/>
        <w:sz w:val="17"/>
        <w:szCs w:val="17"/>
      </w:rPr>
      <w:t xml:space="preserve">  —  Section 4: Self-Regulation  |  Section 5: Simulator  |  Section 6: 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2026-05-07T05:07:42.004Z</dcterms:created>
  <dcterms:modified xsi:type="dcterms:W3CDTF">2026-05-07T05:07:42.020Z</dcterms:modified>
</cp:coreProperties>
</file>

<file path=docProps/custom.xml><?xml version="1.0" encoding="utf-8"?>
<Properties xmlns="http://schemas.openxmlformats.org/officeDocument/2006/custom-properties" xmlns:vt="http://schemas.openxmlformats.org/officeDocument/2006/docPropsVTypes"/>
</file>