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40"/>
        <w:jc w:val="center"/>
      </w:pPr>
      <w:r>
        <w:rPr>
          <w:b/>
          <w:bCs/>
          <w:color w:val="1F3A5F"/>
          <w:sz w:val="56"/>
          <w:szCs w:val="56"/>
        </w:rPr>
        <w:t xml:space="preserve">PSA WEALTH</w:t>
      </w:r>
    </w:p>
    <w:p>
      <w:pPr>
        <w:spacing w:after="600"/>
        <w:jc w:val="center"/>
      </w:pPr>
      <w:r>
        <w:rPr>
          <w:color w:val="1F3A5F"/>
          <w:spacing w:val="60"/>
          <w:sz w:val="28"/>
          <w:szCs w:val="28"/>
        </w:rPr>
        <w:t xml:space="preserve">CLIENT FACT REVIEW</w:t>
      </w:r>
    </w:p>
    <w:p>
      <w:pPr>
        <w:spacing w:after="360"/>
        <w:jc w:val="center"/>
      </w:pPr>
      <w:r>
        <w:rPr>
          <w:i/>
          <w:iCs/>
          <w:color w:val="707070"/>
          <w:sz w:val="26"/>
          <w:szCs w:val="26"/>
        </w:rPr>
        <w:t xml:space="preserve">Comprehensive Discovery Document</w:t>
      </w:r>
    </w:p>
    <w:p>
      <w:pPr>
        <w:spacing w:after="720"/>
        <w:jc w:val="center"/>
      </w:pPr>
      <w:r>
        <w:rPr>
          <w:color w:val="707070"/>
          <w:sz w:val="22"/>
          <w:szCs w:val="22"/>
        </w:rPr>
        <w:t xml:space="preserve">Pre-Exit &amp; Post-Exit Business Owner Engagements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Client Name</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Marcus &amp; Catherine Holloway</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Primary Entity</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Holloway Industrial Solutions, LLC</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Engagement Type</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Pre-Exit Business Owner</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Lead Advisor</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Will Bearden</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Discovery Period</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February – April 2026</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Document Version</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1.0 – Final</w:t>
            </w:r>
          </w:p>
        </w:tc>
      </w:tr>
      <w:tr>
        <w:tc>
          <w:tcPr>
            <w:tcW w:type="dxa" w:w="288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Date Completed</w:t>
            </w:r>
          </w:p>
        </w:tc>
        <w:tc>
          <w:tcPr>
            <w:tcW w:type="dxa" w:w="4320"/>
            <w:tcBorders>
              <w:top w:val="single" w:color="BFBFBF" w:sz="4"/>
              <w:left w:val="single" w:color="BFBFBF" w:sz="4"/>
              <w:bottom w:val="single" w:color="BFBFBF" w:sz="4"/>
              <w:right w:val="single" w:color="BFBFBF" w:sz="4"/>
            </w:tcBorders>
            <w:shd w:fill="FFFBE6" w:val="clear"/>
            <w:tcMar>
              <w:top w:type="dxa" w:w="80"/>
              <w:left w:type="dxa" w:w="140"/>
              <w:bottom w:type="dxa" w:w="80"/>
              <w:right w:type="dxa" w:w="140"/>
            </w:tcMar>
          </w:tcPr>
          <w:p>
            <w:r>
              <w:rPr>
                <w:color w:val="000000"/>
                <w:sz w:val="20"/>
                <w:szCs w:val="20"/>
              </w:rPr>
              <w:t xml:space="preserve">April 22, 2026</w:t>
            </w:r>
          </w:p>
        </w:tc>
      </w:tr>
    </w:tbl>
    <w:p>
      <w:pPr>
        <w:spacing w:before="720"/>
      </w:pPr>
      <w:r>
        <w:t xml:space="preserve"/>
      </w:r>
    </w:p>
    <w:p>
      <w:pPr>
        <w:jc w:val="center"/>
      </w:pPr>
      <w:r>
        <w:rPr>
          <w:color w:val="707070"/>
          <w:spacing w:val="80"/>
          <w:sz w:val="18"/>
          <w:szCs w:val="18"/>
        </w:rPr>
        <w:t xml:space="preserve">C O N F I D E N T I A L</w:t>
      </w:r>
    </w:p>
    <w:p>
      <w:pPr>
        <w:pStyle w:val="Heading1"/>
        <w:pageBreakBefore/>
        <w:spacing w:after="160" w:before="320"/>
      </w:pPr>
      <w:r>
        <w:rPr>
          <w:b/>
          <w:bCs/>
          <w:color w:val="1F3A5F"/>
        </w:rPr>
        <w:t xml:space="preserve">How to Use This Document</w:t>
      </w:r>
    </w:p>
    <w:p>
      <w:pPr>
        <w:spacing w:after="100"/>
      </w:pPr>
      <w:r>
        <w:t xml:space="preserve">The Client Fact Review is the structured intake document that captures every piece of client information needed to generate a world-class financial plan. It is the single source of truth that feeds the planning engine — once this document is completed accurately, the system has everything it needs to produce a comprehensive plan.</w:t>
      </w:r>
    </w:p>
    <w:p>
      <w:pPr>
        <w:pStyle w:val="Heading2"/>
        <w:spacing w:after="120" w:before="240"/>
      </w:pPr>
      <w:r>
        <w:rPr>
          <w:b/>
          <w:bCs/>
          <w:color w:val="1F3A5F"/>
        </w:rPr>
        <w:t xml:space="preserve">Who completes this</w:t>
      </w:r>
    </w:p>
    <w:p>
      <w:pPr>
        <w:pStyle w:val="ListParagraph"/>
        <w:numPr>
          <w:ilvl w:val="0"/>
          <w:numId w:val="2"/>
        </w:numPr>
        <w:spacing w:after="60"/>
      </w:pPr>
      <w:r>
        <w:t xml:space="preserve">Lead advisor and planning support work jointly during discovery.</w:t>
      </w:r>
    </w:p>
    <w:p>
      <w:pPr>
        <w:pStyle w:val="ListParagraph"/>
        <w:numPr>
          <w:ilvl w:val="0"/>
          <w:numId w:val="2"/>
        </w:numPr>
        <w:spacing w:after="60"/>
      </w:pPr>
      <w:r>
        <w:t xml:space="preserve">Senior advisor reviews and signs off before plan generation.</w:t>
      </w:r>
    </w:p>
    <w:p>
      <w:pPr>
        <w:pStyle w:val="ListParagraph"/>
        <w:numPr>
          <w:ilvl w:val="0"/>
          <w:numId w:val="2"/>
        </w:numPr>
        <w:spacing w:after="60"/>
      </w:pPr>
      <w:r>
        <w:t xml:space="preserve">Update on a triggered basis (life events, business milestones) and refresh annually.</w:t>
      </w:r>
    </w:p>
    <w:p>
      <w:pPr>
        <w:pStyle w:val="Heading2"/>
        <w:spacing w:after="120" w:before="240"/>
      </w:pPr>
      <w:r>
        <w:rPr>
          <w:b/>
          <w:bCs/>
          <w:color w:val="1F3A5F"/>
        </w:rPr>
        <w:t xml:space="preserve">How sections are marked</w:t>
      </w:r>
    </w:p>
    <w:p>
      <w:pPr>
        <w:pStyle w:val="ListParagraph"/>
        <w:numPr>
          <w:ilvl w:val="0"/>
          <w:numId w:val="2"/>
        </w:numPr>
        <w:spacing w:after="60"/>
      </w:pPr>
      <w:r>
        <w:t xml:space="preserve">[REQUIRED] — must be completed for any engagement</w:t>
      </w:r>
    </w:p>
    <w:p>
      <w:pPr>
        <w:pStyle w:val="ListParagraph"/>
        <w:numPr>
          <w:ilvl w:val="0"/>
          <w:numId w:val="2"/>
        </w:numPr>
        <w:spacing w:after="60"/>
      </w:pPr>
      <w:r>
        <w:t xml:space="preserve">[REQUIRED — PRE-EXIT] — must be completed for pre-exit business owner engagements</w:t>
      </w:r>
    </w:p>
    <w:p>
      <w:pPr>
        <w:pStyle w:val="ListParagraph"/>
        <w:numPr>
          <w:ilvl w:val="0"/>
          <w:numId w:val="2"/>
        </w:numPr>
        <w:spacing w:after="60"/>
      </w:pPr>
      <w:r>
        <w:t xml:space="preserve">[REQUIRED — POST-EXIT] — must be completed for post-exit business owner engagements</w:t>
      </w:r>
    </w:p>
    <w:p>
      <w:pPr>
        <w:pStyle w:val="ListParagraph"/>
        <w:numPr>
          <w:ilvl w:val="0"/>
          <w:numId w:val="2"/>
        </w:numPr>
        <w:spacing w:after="60"/>
      </w:pPr>
      <w:r>
        <w:t xml:space="preserve">[OPTIONAL] — complete if applicable to the client's situation</w:t>
      </w:r>
    </w:p>
    <w:p>
      <w:pPr>
        <w:pStyle w:val="Heading2"/>
        <w:spacing w:after="120" w:before="240"/>
      </w:pPr>
      <w:r>
        <w:rPr>
          <w:b/>
          <w:bCs/>
          <w:color w:val="1F3A5F"/>
        </w:rPr>
        <w:t xml:space="preserve">Field conventions</w:t>
      </w:r>
    </w:p>
    <w:p>
      <w:pPr>
        <w:pStyle w:val="ListParagraph"/>
        <w:numPr>
          <w:ilvl w:val="0"/>
          <w:numId w:val="2"/>
        </w:numPr>
        <w:spacing w:after="60"/>
      </w:pPr>
      <w:r>
        <w:t xml:space="preserve">Yellow-shaded fields are fill-in fields. Empty cells will result in lower-quality recommendations.</w:t>
      </w:r>
    </w:p>
    <w:p>
      <w:pPr>
        <w:pStyle w:val="ListParagraph"/>
        <w:numPr>
          <w:ilvl w:val="0"/>
          <w:numId w:val="2"/>
        </w:numPr>
        <w:spacing w:after="60"/>
      </w:pPr>
      <w:r>
        <w:t xml:space="preserve">If information is unknown or unavailable, mark as "Unknown — to be obtained" rather than leaving blank, and add to follow-up list.</w:t>
      </w:r>
    </w:p>
    <w:p>
      <w:pPr>
        <w:pStyle w:val="ListParagraph"/>
        <w:numPr>
          <w:ilvl w:val="0"/>
          <w:numId w:val="2"/>
        </w:numPr>
        <w:spacing w:after="60"/>
      </w:pPr>
      <w:r>
        <w:t xml:space="preserve">All dollar amounts in current US dollars unless otherwise noted.</w:t>
      </w:r>
    </w:p>
    <w:p>
      <w:pPr>
        <w:pStyle w:val="ListParagraph"/>
        <w:numPr>
          <w:ilvl w:val="0"/>
          <w:numId w:val="2"/>
        </w:numPr>
        <w:spacing w:after="60"/>
      </w:pPr>
      <w:r>
        <w:t xml:space="preserve">All percentages as whole numbers (e.g., 88, not 0.88).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AF0F6" w:val="clear"/>
            <w:tcMar>
              <w:top w:type="dxa" w:w="140"/>
              <w:left w:type="dxa" w:w="200"/>
              <w:bottom w:type="dxa" w:w="140"/>
              <w:right w:type="dxa" w:w="200"/>
            </w:tcMar>
          </w:tcPr>
          <w:p>
            <w:pPr>
              <w:spacing w:after="80"/>
            </w:pPr>
            <w:r>
              <w:rPr>
                <w:b/>
                <w:bCs/>
                <w:color w:val="1F3A5F"/>
                <w:sz w:val="22"/>
                <w:szCs w:val="22"/>
              </w:rPr>
              <w:t xml:space="preserve">Document handling</w:t>
            </w:r>
          </w:p>
          <w:p>
            <w:r>
              <w:rPr>
                <w:sz w:val="20"/>
                <w:szCs w:val="20"/>
              </w:rPr>
              <w:t xml:space="preserve">This document is the foundation of every recommendation in the plan. Treat it with the same care as the plan itself. Save final versions to the client's secure folder. Use track-changes for all updates so we maintain a complete audit history of when each fact was learned or revised.</w:t>
            </w:r>
          </w:p>
        </w:tc>
      </w:tr>
    </w:tbl>
    <w:p>
      <w:pPr>
        <w:pStyle w:val="Heading1"/>
        <w:pageBreakBefore/>
        <w:spacing w:after="160" w:before="320"/>
      </w:pPr>
      <w:r>
        <w:rPr>
          <w:b/>
          <w:bCs/>
          <w:color w:val="1F3A5F"/>
        </w:rPr>
        <w:t xml:space="preserve">1. Engagement Metadata</w:t>
      </w:r>
    </w:p>
    <w:p>
      <w:pPr>
        <w:spacing w:after="120"/>
      </w:pPr>
      <w:r>
        <w:rPr>
          <w:i/>
          <w:iCs/>
          <w:color w:val="707070"/>
          <w:sz w:val="18"/>
          <w:szCs w:val="18"/>
        </w:rPr>
        <w:t xml:space="preserve">[REQUIRED — All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Engagement Archetype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Pre-Exit Business Owner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Primary Planning Window</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3–5 years to likely transaction event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Engagement Start Date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February 12, 2026</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Discovery Sessions Held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 working sessions; 2 follow-ups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Documents Received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 yrs business returns, 3 yrs personal returns, 2009 operating agreement, 2014 will, current insurance summaries, balance sheet detail</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Documents Outstanding</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Buy/sell paragraph (referenced in op agreement; standalone document does not appear to exist)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Senior Advisor Reviewed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Yes – Will Bearden, April 22, 2026</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Compliance Reviewed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Yes – PSA Compliance, April 23, 2026</w:t>
            </w:r>
          </w:p>
        </w:tc>
      </w:tr>
    </w:tbl>
    <w:p>
      <w:pPr>
        <w:pStyle w:val="Heading1"/>
        <w:pageBreakBefore/>
        <w:spacing w:after="160" w:before="320"/>
      </w:pPr>
      <w:r>
        <w:rPr>
          <w:b/>
          <w:bCs/>
          <w:color w:val="1F3A5F"/>
        </w:rPr>
        <w:t xml:space="preserve">2. Household &amp; Family</w:t>
      </w:r>
    </w:p>
    <w:p>
      <w:pPr>
        <w:spacing w:after="120"/>
      </w:pPr>
      <w:r>
        <w:rPr>
          <w:i/>
          <w:iCs/>
          <w:color w:val="707070"/>
          <w:sz w:val="18"/>
          <w:szCs w:val="18"/>
        </w:rPr>
        <w:t xml:space="preserve">[REQUIRED — All engagements]</w:t>
      </w:r>
    </w:p>
    <w:p>
      <w:pPr>
        <w:pStyle w:val="Heading2"/>
        <w:spacing w:after="120" w:before="240"/>
      </w:pPr>
      <w:r>
        <w:rPr>
          <w:b/>
          <w:bCs/>
          <w:color w:val="1F3A5F"/>
        </w:rPr>
        <w:t xml:space="preserve">2.1 Primary Owner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Full Legal Name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Marcus James Holloway</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Date of Birth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June 14, 1973</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Age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52</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State of Residence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Georgia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County</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Cobb</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Citizenship</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U.S. citizen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Marital Status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Married</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Health Status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Excellent — no material conditions; insurable at preferred rates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Smoker / Nicotine Use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Non-smoker, non-nicotine, 10+ years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Primary Occupation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Founder / CEO, Holloway Industrial Solutions, LLC</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W-2 Income (current)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$480,000</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Other Income Sources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S-Corp K-1 distributions; investment income</w:t>
            </w:r>
          </w:p>
        </w:tc>
      </w:tr>
    </w:tbl>
    <w:p>
      <w:pPr>
        <w:pStyle w:val="Heading2"/>
        <w:spacing w:after="120" w:before="240"/>
      </w:pPr>
      <w:r>
        <w:rPr>
          <w:b/>
          <w:bCs/>
          <w:color w:val="1F3A5F"/>
        </w:rPr>
        <w:t xml:space="preserve">2.2 Spouse / Co-Owner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Full Legal Name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Catherine Anne Holloway (née Reeves)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Date of Birth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September 3, 1976</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Age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49</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State of Residence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Georgia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Citizenship</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U.S. citizen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Health Status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Excellent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Smoker / Nicotine Use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Non-smoker, non-nicotine, never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Primary Occupation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Family affairs management; nonprofit board service (2 boards)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W-2 Income (current)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$0 — not on payroll</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Prior Career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Regional Marketing Director, healthcare REIT (left 2019)</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Income Sources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earned; spousal of Marcus's S-Corp distributions</w:t>
            </w:r>
          </w:p>
        </w:tc>
      </w:tr>
    </w:tbl>
    <w:p>
      <w:pPr>
        <w:pStyle w:val="Heading2"/>
        <w:spacing w:after="120" w:before="240"/>
      </w:pPr>
      <w:r>
        <w:rPr>
          <w:b/>
          <w:bCs/>
          <w:color w:val="1F3A5F"/>
        </w:rPr>
        <w:t xml:space="preserve">2.3 Children &amp; Dependents</w:t>
      </w:r>
    </w:p>
    <w:p>
      <w:pPr>
        <w:spacing w:after="120"/>
      </w:pPr>
      <w:r>
        <w:rPr>
          <w:i/>
          <w:iCs/>
          <w:color w:val="707070"/>
          <w:sz w:val="18"/>
          <w:szCs w:val="18"/>
        </w:rPr>
        <w:t xml:space="preserve">List each child or dependent.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300"/>
        <w:gridCol w:w="1820"/>
        <w:gridCol w:w="4160"/>
      </w:tblGrid>
      <w:tr>
        <w:trPr>
          <w:tblHeader/>
        </w:trPr>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Name</w:t>
            </w:r>
          </w:p>
        </w:tc>
        <w:tc>
          <w:tcPr>
            <w:tcW w:type="dxa" w:w="13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Age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Status</w:t>
            </w:r>
          </w:p>
        </w:tc>
        <w:tc>
          <w:tcPr>
            <w:tcW w:type="dxa" w:w="41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Olivia Holloway</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19</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College student</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UGA, sophomore — Business major; no current income</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James Holloway</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Minor</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Junior in high school; eligible for legitimate family-business work for custodial Roth</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Sophie Holloway</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Minor</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7th grade; long planning horizon</w:t>
            </w:r>
          </w:p>
        </w:tc>
      </w:tr>
    </w:tbl>
    <w:p>
      <w:pPr>
        <w:pStyle w:val="Heading2"/>
        <w:spacing w:after="120" w:before="240"/>
      </w:pPr>
      <w:r>
        <w:rPr>
          <w:b/>
          <w:bCs/>
          <w:color w:val="1F3A5F"/>
        </w:rPr>
        <w:t xml:space="preserve">2.4 Extended Family / Anticipated Support</w:t>
      </w:r>
    </w:p>
    <w:p>
      <w:pPr>
        <w:spacing w:after="120"/>
      </w:pPr>
      <w:r>
        <w:rPr>
          <w:i/>
          <w:iCs/>
          <w:color w:val="707070"/>
          <w:sz w:val="18"/>
          <w:szCs w:val="18"/>
        </w:rPr>
        <w:t xml:space="preserve">Capture any extended family members the client expects to provide for, or who may impact planning (aging parents, special-needs family,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Marcus's mother, Eleanor Holloway, age 78. Widowed (Marcus's father passed 2018). Currently independent, lives in Marietta. Good health but Marcus and Catherine expect to provide some financial support within 5–10 years (assisted-living, in-home care, or both). No long-term-care insurance in place. Catherine's parents both deceased; one sister in Colorado (no expected support need).</w:t>
            </w:r>
          </w:p>
        </w:tc>
      </w:tr>
    </w:tbl>
    <w:p>
      <w:pPr>
        <w:pStyle w:val="Heading1"/>
        <w:pageBreakBefore/>
        <w:spacing w:after="160" w:before="320"/>
      </w:pPr>
      <w:r>
        <w:rPr>
          <w:b/>
          <w:bCs/>
          <w:color w:val="1F3A5F"/>
        </w:rPr>
        <w:t xml:space="preserve">3. Primary Business</w:t>
      </w:r>
    </w:p>
    <w:p>
      <w:pPr>
        <w:spacing w:after="120"/>
      </w:pPr>
      <w:r>
        <w:rPr>
          <w:i/>
          <w:iCs/>
          <w:color w:val="707070"/>
          <w:sz w:val="18"/>
          <w:szCs w:val="18"/>
        </w:rPr>
        <w:t xml:space="preserve">[REQUIRED — Pre-Exit and Post-Exit. For Post-Exit: capture what was sold or transitioned.]</w:t>
      </w:r>
    </w:p>
    <w:p>
      <w:pPr>
        <w:pStyle w:val="Heading2"/>
        <w:spacing w:after="120" w:before="240"/>
      </w:pPr>
      <w:r>
        <w:rPr>
          <w:b/>
          <w:bCs/>
          <w:color w:val="1F3A5F"/>
        </w:rPr>
        <w:t xml:space="preserve">3.1 Entity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Legal Name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Holloway Industrial Solutions, LLC</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Common / Trade Name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HIS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State of Formation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Georgia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Entity Type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LLC, taxed as S-Corporation (S-election filed at formation)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Year Founded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2009</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EIN (last 4 only)</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XX-XXX-4831</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Industry / NAICS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238220 — Plumbing, Heating, and Air-Conditioning Contractors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Operations Description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Specialty mechanical contractor (HVAC, process piping, controls) for data center, healthcare, and advanced manufacturing clients across the Southeast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Headquarters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Kennesaw, GA — 38,000 sf owned facility (currently inside operating LLC)</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Geographic Markets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Georgia, Tennessee, Alabama, the Carolinas, Northern Florida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Employee Count (FTE)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87 (as of Q1 2026)</w:t>
            </w:r>
          </w:p>
        </w:tc>
      </w:tr>
    </w:tbl>
    <w:p>
      <w:pPr>
        <w:pStyle w:val="Heading2"/>
        <w:spacing w:after="120" w:before="240"/>
      </w:pPr>
      <w:r>
        <w:rPr>
          <w:b/>
          <w:bCs/>
          <w:color w:val="1F3A5F"/>
        </w:rPr>
        <w:t xml:space="preserve">3.2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1820"/>
        <w:gridCol w:w="1300"/>
        <w:gridCol w:w="2600"/>
      </w:tblGrid>
      <w:tr>
        <w:trPr>
          <w:tblHeader/>
        </w:trPr>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w:t>
            </w:r>
          </w:p>
        </w:tc>
        <w:tc>
          <w:tcPr>
            <w:tcW w:type="dxa" w:w="10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Class</w:t>
            </w:r>
          </w:p>
        </w:tc>
        <w:tc>
          <w:tcPr>
            <w:tcW w:type="dxa" w:w="13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Vested</w:t>
            </w:r>
          </w:p>
        </w:tc>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How Acquired</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Marcus Holloway</w:t>
            </w:r>
          </w:p>
        </w:tc>
        <w:tc>
          <w:tcPr>
            <w:tcW w:type="dxa" w:w="1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88</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Membership units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Derek Chen</w:t>
            </w:r>
          </w:p>
        </w:tc>
        <w:tc>
          <w:tcPr>
            <w:tcW w:type="dxa" w:w="10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Membership units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 (2022)</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2014 profits-interest plan; 8-year vest</w:t>
            </w:r>
          </w:p>
        </w:tc>
      </w:tr>
    </w:tbl>
    <w:p>
      <w:pPr>
        <w:pStyle w:val="Heading2"/>
        <w:spacing w:after="120" w:before="240"/>
      </w:pPr>
      <w:r>
        <w:rPr>
          <w:b/>
          <w:bCs/>
          <w:color w:val="1F3A5F"/>
        </w:rPr>
        <w:t xml:space="preserve">3.3 Financial History (Trailing 3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080"/>
        <w:gridCol w:w="1820"/>
        <w:gridCol w:w="1820"/>
      </w:tblGrid>
      <w:tr>
        <w:trPr>
          <w:tblHeader/>
        </w:trPr>
        <w:tc>
          <w:tcPr>
            <w:tcW w:type="dxa" w:w="15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Year</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Revenue</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EBITDA</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Margin %</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 Comp</w:t>
            </w:r>
          </w:p>
        </w:tc>
      </w:tr>
      <w:tr>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2024</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$42,800,000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$6,420,000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$480K W-2 + K-1</w:t>
            </w:r>
          </w:p>
        </w:tc>
      </w:tr>
      <w:tr>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$36,100,000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$5,054,000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14.0%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$420K W-2 + K-1</w:t>
            </w:r>
          </w:p>
        </w:tc>
      </w:tr>
      <w:tr>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2022</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$28,400,000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$3,692,000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13.0%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$380K W-2 + K-1</w:t>
            </w:r>
          </w:p>
        </w:tc>
      </w:tr>
    </w:tbl>
    <w:p>
      <w:pPr>
        <w:pStyle w:val="Heading2"/>
        <w:spacing w:after="120" w:before="240"/>
      </w:pPr>
      <w:r>
        <w:rPr>
          <w:b/>
          <w:bCs/>
          <w:color w:val="1F3A5F"/>
        </w:rPr>
        <w:t xml:space="preserve">3.4 Customer &amp; Concentration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Top 3 Customers (% of revenue)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47% (2024) — meaningful concentration risk</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Top 10 Customers (% of revenue)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78% (2024)</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Largest Single Customer (% of revenue)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22% (2024) — hyperscale data-center client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Customer Vertical Mix</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Data center: ~55%; Healthcare: ~28%; Advanced manufacturing: ~17%</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Recurring vs. Project Revenue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Roughly 30% service/maintenance recurring; 70% project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Backlog (current)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$48M signed at Q1 2026; ~14 months of revenue</w:t>
            </w:r>
          </w:p>
        </w:tc>
      </w:tr>
    </w:tbl>
    <w:p>
      <w:pPr>
        <w:pStyle w:val="Heading2"/>
        <w:spacing w:after="120" w:before="240"/>
      </w:pPr>
      <w:r>
        <w:rPr>
          <w:b/>
          <w:bCs/>
          <w:color w:val="1F3A5F"/>
        </w:rPr>
        <w:t xml:space="preserve">3.5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Current Estimated Range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$32M – $48M</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Methodology</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PSA preliminary range: 5.0x – 7.5x trailing adjusted EBITDA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Comparable Transactions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 transactions tracked 2023–2025: regional MEP roll-ups at 6.2x–7.1x; one strategic at 8.4x</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Last Formal Valuation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 preliminary range only</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Q-of-E Performed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Multiple Compression Risks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Customer concentration (top-3 = 47%); single-vertical exposure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Multiple Premium Drivers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Data-center vertical exposure; 22.7% revenue CAGR; defensible service backlog</w:t>
            </w:r>
          </w:p>
        </w:tc>
      </w:tr>
    </w:tbl>
    <w:p>
      <w:pPr>
        <w:pStyle w:val="Heading2"/>
        <w:spacing w:after="120" w:before="240"/>
      </w:pPr>
      <w:r>
        <w:rPr>
          <w:b/>
          <w:bCs/>
          <w:color w:val="1F3A5F"/>
        </w:rPr>
        <w:t xml:space="preserve">3.6 Real Estate Held by or Used by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20"/>
        <w:gridCol w:w="1820"/>
        <w:gridCol w:w="2600"/>
      </w:tblGrid>
      <w:tr>
        <w:trPr>
          <w:tblHeader/>
        </w:trPr>
        <w:tc>
          <w:tcPr>
            <w:tcW w:type="dxa" w:w="31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Property</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Held In</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Estimated Value</w:t>
            </w:r>
          </w:p>
        </w:tc>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Kennesaw HQ / fabrication facility (38,000 sf)</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Inside HIS LLC</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$4,200,000</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Material structural issue — see findings</w:t>
            </w:r>
          </w:p>
        </w:tc>
      </w:tr>
    </w:tbl>
    <w:p>
      <w:pPr>
        <w:pStyle w:val="Heading1"/>
        <w:pageBreakBefore/>
        <w:spacing w:after="160" w:before="320"/>
      </w:pPr>
      <w:r>
        <w:rPr>
          <w:b/>
          <w:bCs/>
          <w:color w:val="1F3A5F"/>
        </w:rPr>
        <w:t xml:space="preserve">4. Other Entities, Trusts &amp; Holding Structures</w:t>
      </w:r>
    </w:p>
    <w:p>
      <w:pPr>
        <w:spacing w:after="120"/>
      </w:pPr>
      <w:r>
        <w:rPr>
          <w:i/>
          <w:iCs/>
          <w:color w:val="707070"/>
          <w:sz w:val="18"/>
          <w:szCs w:val="18"/>
        </w:rPr>
        <w:t xml:space="preserve">[REQUIRED — All engagements] List every entity in the client's structure: holding companies, additional operating entities, real estate LLCs, trusts, foundations, DAFs, family LLCs,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820"/>
        <w:gridCol w:w="3120"/>
      </w:tblGrid>
      <w:tr>
        <w:trPr>
          <w:tblHeader/>
        </w:trPr>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Entity / Trust</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Type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Role</w:t>
            </w:r>
          </w:p>
        </w:tc>
        <w:tc>
          <w:tcPr>
            <w:tcW w:type="dxa" w:w="31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i/>
                <w:iCs/>
                <w:color w:val="707070"/>
                <w:sz w:val="20"/>
                <w:szCs w:val="20"/>
              </w:rPr>
              <w:t xml:space="preserve">(none currently exist)</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Plan recommends: Holloway Properties LLC, Holloway Holdings LLC (post-F-reorg), Joint Revocable Trust, ILIT, three children's trusts, DAF</w:t>
            </w:r>
          </w:p>
        </w:tc>
      </w:tr>
    </w:tbl>
    <w:p>
      <w:pPr>
        <w:pStyle w:val="Heading1"/>
        <w:pageBreakBefore/>
        <w:spacing w:after="160" w:before="320"/>
      </w:pPr>
      <w:r>
        <w:rPr>
          <w:b/>
          <w:bCs/>
          <w:color w:val="1F3A5F"/>
        </w:rPr>
        <w:t xml:space="preserve">5. Personal Balance Sheet</w:t>
      </w:r>
    </w:p>
    <w:p>
      <w:pPr>
        <w:spacing w:after="120"/>
      </w:pPr>
      <w:r>
        <w:rPr>
          <w:i/>
          <w:iCs/>
          <w:color w:val="707070"/>
          <w:sz w:val="18"/>
          <w:szCs w:val="18"/>
        </w:rPr>
        <w:t xml:space="preserve">[REQUIRED — All engagements] Capture all personal assets and liabilities. Group by category.</w:t>
      </w:r>
    </w:p>
    <w:p>
      <w:pPr>
        <w:pStyle w:val="Heading2"/>
        <w:spacing w:after="120" w:before="240"/>
      </w:pPr>
      <w:r>
        <w:rPr>
          <w:b/>
          <w:bCs/>
          <w:color w:val="1F3A5F"/>
        </w:rPr>
        <w:t xml:space="preserve">5.1 Liquid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1820"/>
        <w:gridCol w:w="2340"/>
      </w:tblGrid>
      <w:tr>
        <w:trPr>
          <w:tblHeader/>
        </w:trPr>
        <w:tc>
          <w:tcPr>
            <w:tcW w:type="dxa" w:w="31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Account / Asset</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Institution</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Value</w:t>
            </w:r>
          </w:p>
        </w:tc>
        <w:tc>
          <w:tcPr>
            <w:tcW w:type="dxa" w:w="23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 / Title</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Personal checking</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Truist</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$310,000</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JT Marcus &amp; Catherine</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Taxable brokerage</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Schwab</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$1,800,000</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JT Marcus &amp; Catherine</w:t>
            </w:r>
          </w:p>
        </w:tc>
      </w:tr>
    </w:tbl>
    <w:p>
      <w:pPr>
        <w:pStyle w:val="Heading2"/>
        <w:spacing w:after="120" w:before="240"/>
      </w:pPr>
      <w:r>
        <w:rPr>
          <w:b/>
          <w:bCs/>
          <w:color w:val="1F3A5F"/>
        </w:rPr>
        <w:t xml:space="preserve">5.2 Retirement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1820"/>
        <w:gridCol w:w="2340"/>
      </w:tblGrid>
      <w:tr>
        <w:trPr>
          <w:tblHeader/>
        </w:trPr>
        <w:tc>
          <w:tcPr>
            <w:tcW w:type="dxa" w:w="31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Account Type</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Institution</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Value</w:t>
            </w:r>
          </w:p>
        </w:tc>
        <w:tc>
          <w:tcPr>
            <w:tcW w:type="dxa" w:w="23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401(k) – HIS plan</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Empower</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$920,000</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Marcus</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Rollover IRA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Schwab</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$340,000</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Catherine</w:t>
            </w:r>
          </w:p>
        </w:tc>
      </w:tr>
    </w:tbl>
    <w:p>
      <w:pPr>
        <w:pStyle w:val="Heading2"/>
        <w:spacing w:after="120" w:before="240"/>
      </w:pPr>
      <w:r>
        <w:rPr>
          <w:b/>
          <w:bCs/>
          <w:color w:val="1F3A5F"/>
        </w:rPr>
        <w:t xml:space="preserve">5.3 Real Estate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820"/>
        <w:gridCol w:w="1300"/>
        <w:gridCol w:w="1820"/>
      </w:tblGrid>
      <w:tr>
        <w:trPr>
          <w:tblHeader/>
        </w:trPr>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Property</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Value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Mortgage</w:t>
            </w:r>
          </w:p>
        </w:tc>
        <w:tc>
          <w:tcPr>
            <w:tcW w:type="dxa" w:w="13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Rate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 / Title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East Cobb residence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$2,100,000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$680,000</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3.10%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JT M&amp;C</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Blue Ridge vacation home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$1,400,000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$0</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JT M&amp;C</w:t>
            </w:r>
          </w:p>
        </w:tc>
      </w:tr>
    </w:tbl>
    <w:p>
      <w:pPr>
        <w:pStyle w:val="Heading2"/>
        <w:spacing w:after="120" w:before="240"/>
      </w:pPr>
      <w:r>
        <w:rPr>
          <w:b/>
          <w:bCs/>
          <w:color w:val="1F3A5F"/>
        </w:rPr>
        <w:t xml:space="preserve">5.4 Business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Operating Business — Marcus's 88% interest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$28.2M – $42.2M (estimated)</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Operating Business — Catherine's interest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$0 — not currently an owner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Other Business Holdings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bl>
    <w:p>
      <w:pPr>
        <w:pStyle w:val="Heading2"/>
        <w:spacing w:after="120" w:before="240"/>
      </w:pPr>
      <w:r>
        <w:rPr>
          <w:b/>
          <w:bCs/>
          <w:color w:val="1F3A5F"/>
        </w:rPr>
        <w:t xml:space="preserve">5.5 Other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Two vehicles ($165K combined). Personal property and contents per homeowner's policy ~$400K. No meaningful collectibles, art, or alternative assets at this time. Catherine has expressed interest in real estate development as a post-exit deployment vehicle.</w:t>
            </w:r>
          </w:p>
        </w:tc>
      </w:tr>
    </w:tbl>
    <w:p>
      <w:pPr>
        <w:pStyle w:val="Heading2"/>
        <w:spacing w:after="120" w:before="240"/>
      </w:pPr>
      <w:r>
        <w:rPr>
          <w:b/>
          <w:bCs/>
          <w:color w:val="1F3A5F"/>
        </w:rPr>
        <w:t xml:space="preserve">5.6 Liabilities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Mortgage(s)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$680,000 (East Cobb) at 3.10%</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Personal Lines of Credit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drawn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Personal Guarantees on Business Debt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Marcus personally guarantees $4M revolving line of credit at Truist; Catherine does not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Other Personal Debt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material</w:t>
            </w:r>
          </w:p>
        </w:tc>
      </w:tr>
    </w:tbl>
    <w:p>
      <w:pPr>
        <w:pStyle w:val="Heading1"/>
        <w:pageBreakBefore/>
        <w:spacing w:after="160" w:before="320"/>
      </w:pPr>
      <w:r>
        <w:rPr>
          <w:b/>
          <w:bCs/>
          <w:color w:val="1F3A5F"/>
        </w:rPr>
        <w:t xml:space="preserve">6. Income, Expenses &amp; Cash Flow</w:t>
      </w:r>
    </w:p>
    <w:p>
      <w:pPr>
        <w:spacing w:after="120"/>
      </w:pPr>
      <w:r>
        <w:rPr>
          <w:i/>
          <w:iCs/>
          <w:color w:val="707070"/>
          <w:sz w:val="18"/>
          <w:szCs w:val="18"/>
        </w:rPr>
        <w:t xml:space="preserve">[REQUIRED — All engagements]</w:t>
      </w:r>
    </w:p>
    <w:p>
      <w:pPr>
        <w:pStyle w:val="Heading2"/>
        <w:spacing w:after="120" w:before="240"/>
      </w:pPr>
      <w:r>
        <w:rPr>
          <w:b/>
          <w:bCs/>
          <w:color w:val="1F3A5F"/>
        </w:rPr>
        <w:t xml:space="preserve">6.1 Annual Income (Current Year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820"/>
        <w:gridCol w:w="1820"/>
        <w:gridCol w:w="2080"/>
      </w:tblGrid>
      <w:tr>
        <w:trPr>
          <w:tblHeader/>
        </w:trPr>
        <w:tc>
          <w:tcPr>
            <w:tcW w:type="dxa" w:w="36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Source</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Annual Amount</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Tax Treatment</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W-2 from HIS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Marcus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$480,000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Ordinary</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S-Corp K-1 distributions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Marcus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~$3.4M</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Pass-through</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Investment income (taxable)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Joint</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~$45,000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Mixed</w:t>
            </w:r>
          </w:p>
        </w:tc>
      </w:tr>
    </w:tbl>
    <w:p>
      <w:pPr>
        <w:pStyle w:val="Heading2"/>
        <w:spacing w:after="120" w:before="240"/>
      </w:pPr>
      <w:r>
        <w:rPr>
          <w:b/>
          <w:bCs/>
          <w:color w:val="1F3A5F"/>
        </w:rPr>
        <w:t xml:space="preserve">6.2 Annual Lifestyle Expenses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Estimated Annual Living Expenses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$420,000 – $480,000</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Major Components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Mortgage + property: ~$80K · Education (current): ~$45K · Travel: ~$60K · Lifestyle/discretionary: ~$220K · Charity: ~$50K · Taxes (estimated payments): variable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Discretionary Cushion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Meaningful — savings rate currently ~25% of household income after taxes</w:t>
            </w:r>
          </w:p>
        </w:tc>
      </w:tr>
    </w:tbl>
    <w:p>
      <w:pPr>
        <w:pStyle w:val="Heading1"/>
        <w:pageBreakBefore/>
        <w:spacing w:after="160" w:before="320"/>
      </w:pPr>
      <w:r>
        <w:rPr>
          <w:b/>
          <w:bCs/>
          <w:color w:val="1F3A5F"/>
        </w:rPr>
        <w:t xml:space="preserve">7. Insurance &amp; Risk Management</w:t>
      </w:r>
    </w:p>
    <w:p>
      <w:pPr>
        <w:spacing w:after="120"/>
      </w:pPr>
      <w:r>
        <w:rPr>
          <w:i/>
          <w:iCs/>
          <w:color w:val="707070"/>
          <w:sz w:val="18"/>
          <w:szCs w:val="18"/>
        </w:rPr>
        <w:t xml:space="preserve">[REQUIRED — All engagements]</w:t>
      </w:r>
    </w:p>
    <w:p>
      <w:pPr>
        <w:pStyle w:val="Heading2"/>
        <w:spacing w:after="120" w:before="240"/>
      </w:pPr>
      <w:r>
        <w:rPr>
          <w:b/>
          <w:bCs/>
          <w:color w:val="1F3A5F"/>
        </w:rPr>
        <w:t xml:space="preserve">7.1 Life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1560"/>
        <w:gridCol w:w="1820"/>
        <w:gridCol w:w="2340"/>
      </w:tblGrid>
      <w:tr>
        <w:trPr>
          <w:tblHeader/>
        </w:trPr>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Insured</w:t>
            </w:r>
          </w:p>
        </w:tc>
        <w:tc>
          <w:tcPr>
            <w:tcW w:type="dxa" w:w="15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Type</w:t>
            </w:r>
          </w:p>
        </w:tc>
        <w:tc>
          <w:tcPr>
            <w:tcW w:type="dxa" w:w="15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Face Amount</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Owner</w:t>
            </w:r>
          </w:p>
        </w:tc>
        <w:tc>
          <w:tcPr>
            <w:tcW w:type="dxa" w:w="23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Marcus</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Term (laddered)</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$2,000,000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Personal</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Expires 2031; not in trust</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Catherine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Term</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$500,000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Personal</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Inadequate; not in trust</w:t>
            </w:r>
          </w:p>
        </w:tc>
      </w:tr>
    </w:tbl>
    <w:p>
      <w:pPr>
        <w:pStyle w:val="Heading2"/>
        <w:spacing w:after="120" w:before="240"/>
      </w:pPr>
      <w:r>
        <w:rPr>
          <w:b/>
          <w:bCs/>
          <w:color w:val="1F3A5F"/>
        </w:rPr>
        <w:t xml:space="preserve">7.2 Disability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Marcus — Group LTD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60% replacement, 24-month own-occ then any-occ; inadequate for HNW owner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Marcus — Individual LTD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Catherine — Coverage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Business Overhead Expense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bl>
    <w:p>
      <w:pPr>
        <w:pStyle w:val="Heading2"/>
        <w:spacing w:after="120" w:before="240"/>
      </w:pPr>
      <w:r>
        <w:rPr>
          <w:b/>
          <w:bCs/>
          <w:color w:val="1F3A5F"/>
        </w:rPr>
        <w:t xml:space="preserve">7.3 Property &amp; Casualty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Homeowner — East Cobb</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$2.1M dwelling; $250K personal property cap</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Homeowner — Blue Ridge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Standard policy; no scheduled valuables endorsement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Auto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Two vehicles, $250K/$250K liability — sub-umbrella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Personal Umbrella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$2,000,000 — inadequate for net-worth profile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Valuables Schedule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bl>
    <w:p>
      <w:pPr>
        <w:pStyle w:val="Heading2"/>
        <w:spacing w:after="120" w:before="240"/>
      </w:pPr>
      <w:r>
        <w:rPr>
          <w:b/>
          <w:bCs/>
          <w:color w:val="1F3A5F"/>
        </w:rPr>
        <w:t xml:space="preserve">7.4 Business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General Liability</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In place; $2M occurrence / $4M aggregate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Workers Comp</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In place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Professional / E&amp;O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In place; $5M limit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Commercial Auto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Fleet policy in place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Cyber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$1M limit — likely under-insured given customer mix</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Buy/Sell Funding (Life)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Key Person Coverage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on Derek or controller</w:t>
            </w:r>
          </w:p>
        </w:tc>
      </w:tr>
    </w:tbl>
    <w:p>
      <w:pPr>
        <w:pStyle w:val="Heading1"/>
        <w:pageBreakBefore/>
        <w:spacing w:after="160" w:before="320"/>
      </w:pPr>
      <w:r>
        <w:rPr>
          <w:b/>
          <w:bCs/>
          <w:color w:val="1F3A5F"/>
        </w:rPr>
        <w:t xml:space="preserve">8. Tax Profile</w:t>
      </w:r>
    </w:p>
    <w:p>
      <w:pPr>
        <w:spacing w:after="120"/>
      </w:pPr>
      <w:r>
        <w:rPr>
          <w:i/>
          <w:iCs/>
          <w:color w:val="707070"/>
          <w:sz w:val="18"/>
          <w:szCs w:val="18"/>
        </w:rPr>
        <w:t xml:space="preserve">[REQUIRED — All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Filing Status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MFJ</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Most Recent Year — Federal AGI</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~$3.6M (2024)</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Most Recent Year — Federal Tax</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~$1.18M</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Most Recent Year — Georgia Tax</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~$192K</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Effective Combined Rate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~41%</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PTET Election Status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Not elected — material miss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QBI Deduction Taken (last filed)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Partial; not optimized</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R&amp;D Credits Pursued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Cost Segregation on Real Estate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Never performed</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Open IRS / GA DOR Items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Loss Carryforwards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Current CPA / Tax Preparer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Local generalist; does ~150 small business returns; no M&amp;A or pre-transaction depth</w:t>
            </w:r>
          </w:p>
        </w:tc>
      </w:tr>
    </w:tbl>
    <w:p>
      <w:pPr>
        <w:pStyle w:val="Heading1"/>
        <w:pageBreakBefore/>
        <w:spacing w:after="160" w:before="320"/>
      </w:pPr>
      <w:r>
        <w:rPr>
          <w:b/>
          <w:bCs/>
          <w:color w:val="1F3A5F"/>
        </w:rPr>
        <w:t xml:space="preserve">9. Estate Planning Profile</w:t>
      </w:r>
    </w:p>
    <w:p>
      <w:pPr>
        <w:spacing w:after="120"/>
      </w:pPr>
      <w:r>
        <w:rPr>
          <w:i/>
          <w:iCs/>
          <w:color w:val="707070"/>
          <w:sz w:val="18"/>
          <w:szCs w:val="18"/>
        </w:rPr>
        <w:t xml:space="preserve">[REQUIRED — All engagements]</w:t>
      </w:r>
    </w:p>
    <w:p>
      <w:pPr>
        <w:pStyle w:val="Heading2"/>
        <w:spacing w:after="120" w:before="240"/>
      </w:pPr>
      <w:r>
        <w:rPr>
          <w:b/>
          <w:bCs/>
          <w:color w:val="1F3A5F"/>
        </w:rPr>
        <w:t xml:space="preserve">9.1 Existing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560"/>
        <w:gridCol w:w="3380"/>
      </w:tblGrid>
      <w:tr>
        <w:trPr>
          <w:tblHeader/>
        </w:trPr>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Document</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Status</w:t>
            </w:r>
          </w:p>
        </w:tc>
        <w:tc>
          <w:tcPr>
            <w:tcW w:type="dxa" w:w="15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Last Updated</w:t>
            </w:r>
          </w:p>
        </w:tc>
        <w:tc>
          <w:tcPr>
            <w:tcW w:type="dxa" w:w="33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Will — Marcus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In place but stale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2014</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Drafted when net worth ~$3M; does not name guardian for Sophie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Will — Catherine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In place but stale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2014</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Same issues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Revocable Trust</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None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Major gap</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Durable POA (Financial)</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None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Healthcare Directive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None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HIPAA Authorization</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None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Olivia (19) needs hers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ILIT</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B22222"/>
                <w:sz w:val="20"/>
                <w:szCs w:val="20"/>
              </w:rPr>
              <w:t xml:space="preserve">None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33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bl>
    <w:p>
      <w:pPr>
        <w:pStyle w:val="Heading2"/>
        <w:spacing w:after="120" w:before="240"/>
      </w:pPr>
      <w:r>
        <w:rPr>
          <w:b/>
          <w:bCs/>
          <w:color w:val="1F3A5F"/>
        </w:rPr>
        <w:t xml:space="preserve">9.2 Exemption &amp; Gifting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Lifetime Exemption Used to Date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$0 (none used)</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Annual Exclusion Gifts (last 3 years)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 systematic</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Existing Trusts Funded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Beneficiary Designations Reviewed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Not since 2014</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Estate Tax Exposure (current)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$11.4M – $17.6M projected</w:t>
            </w:r>
          </w:p>
        </w:tc>
      </w:tr>
    </w:tbl>
    <w:p>
      <w:pPr>
        <w:pStyle w:val="Heading2"/>
        <w:spacing w:after="120" w:before="240"/>
      </w:pPr>
      <w:r>
        <w:rPr>
          <w:b/>
          <w:bCs/>
          <w:color w:val="1F3A5F"/>
        </w:rPr>
        <w:t xml:space="preserve">9.3 Estate Wishes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Marcus and Catherine want children provided for but with restrictions — no unrestricted access to inherited wealth before age 35 (hard rule). Catherine wants the family foundation eventually, with the children involved in governance, as a values-formation mechanism. Marcus wants Derek treated fairly through any business transition. Both want to support: (1) the children's hospital where Catherine serves on the board; (2) trade scholarships at North Cobb Tech (Marcus's alma mater).</w:t>
            </w:r>
          </w:p>
        </w:tc>
      </w:tr>
    </w:tbl>
    <w:p>
      <w:pPr>
        <w:pStyle w:val="Heading1"/>
        <w:pageBreakBefore/>
        <w:spacing w:after="160" w:before="320"/>
      </w:pPr>
      <w:r>
        <w:rPr>
          <w:b/>
          <w:bCs/>
          <w:color w:val="1F3A5F"/>
        </w:rPr>
        <w:t xml:space="preserve">10. Retirement &amp; Employee Benefits</w:t>
      </w:r>
    </w:p>
    <w:p>
      <w:pPr>
        <w:spacing w:after="120"/>
      </w:pPr>
      <w:r>
        <w:rPr>
          <w:i/>
          <w:iCs/>
          <w:color w:val="707070"/>
          <w:sz w:val="18"/>
          <w:szCs w:val="18"/>
        </w:rPr>
        <w:t xml:space="preserve">[REQUIRED — All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Qualified Plan in Place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401(k) with Safe Harbor match</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Plan Provider / TPA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Empower; no dedicated TPA</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Plan Design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Generic — no profit-sharing layer, no cross-tested allocation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Marcus Current Deferral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At limit ($23K + $7.5K catch-up at 50+)</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Catherine Current Deferral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Not on payroll — $0</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Cash-Balance / DB Plan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SERP / NQDC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Group Health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In place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Group LTD / Life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Both in place; standard limits</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Key Employee Retention Plans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None</w:t>
            </w:r>
          </w:p>
        </w:tc>
      </w:tr>
    </w:tbl>
    <w:p>
      <w:pPr>
        <w:pStyle w:val="Heading1"/>
        <w:pageBreakBefore/>
        <w:spacing w:after="160" w:before="320"/>
      </w:pPr>
      <w:r>
        <w:rPr>
          <w:b/>
          <w:bCs/>
          <w:color w:val="1F3A5F"/>
        </w:rPr>
        <w:t xml:space="preserve">11. Transition Posture</w:t>
      </w:r>
    </w:p>
    <w:p>
      <w:pPr>
        <w:spacing w:after="120"/>
      </w:pPr>
      <w:r>
        <w:rPr>
          <w:i/>
          <w:iCs/>
          <w:color w:val="707070"/>
          <w:sz w:val="18"/>
          <w:szCs w:val="18"/>
        </w:rPr>
        <w:t xml:space="preserve">[REQUIRED — PRE-EXIT engagements] Captures everything related to the anticipated transaction or transition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Transaction Window Estimate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3–5 years to a likely event; not actively in market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Inbound Interest Received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Two unsolicited approaches in past 14 months — one strategic (regional MEP roll-up), one PE (lower-middle-market financial buyer)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Preferred Transaction Type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Open — likely strategic for valuation; requires buyer that retains operations and Derek's role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Preferred Structure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Stock sale preferred; willingness to discuss F-reorg/asset structures if material price impact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Hard Constraints on Buyers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Will not sell to a buyer who would relocate operations or eliminate Derek's role</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Continued Involvement Post-Sale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Open to 1–3 years of transition role; not interested in long-term employment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Banker / M&amp;A Counsel Engaged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Not yet</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Q-of-E Performed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No</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Employee Communication Posture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Closed — no internal communication about a transaction; only Marcus, Catherine, Derek, and PSA know</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Family Communication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Olivia generally aware; James and Sophie not yet briefed</w:t>
            </w:r>
          </w:p>
        </w:tc>
      </w:tr>
    </w:tbl>
    <w:p>
      <w:pPr>
        <w:pStyle w:val="Heading1"/>
        <w:pageBreakBefore/>
        <w:spacing w:after="160" w:before="320"/>
      </w:pPr>
      <w:r>
        <w:rPr>
          <w:b/>
          <w:bCs/>
          <w:color w:val="1F3A5F"/>
        </w:rPr>
        <w:t xml:space="preserve">12. Post-Exit Profile</w:t>
      </w:r>
    </w:p>
    <w:p>
      <w:pPr>
        <w:spacing w:after="120"/>
      </w:pPr>
      <w:r>
        <w:rPr>
          <w:i/>
          <w:iCs/>
          <w:color w:val="707070"/>
          <w:sz w:val="18"/>
          <w:szCs w:val="18"/>
        </w:rPr>
        <w:t xml:space="preserve">[REQUIRED — POST-EXIT engagements only. Skip for pre-exit clients like Holloway.]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AF0F6" w:val="clear"/>
            <w:tcMar>
              <w:top w:type="dxa" w:w="140"/>
              <w:left w:type="dxa" w:w="200"/>
              <w:bottom w:type="dxa" w:w="140"/>
              <w:right w:type="dxa" w:w="200"/>
            </w:tcMar>
          </w:tcPr>
          <w:p>
            <w:pPr>
              <w:spacing w:after="80"/>
            </w:pPr>
            <w:r>
              <w:rPr>
                <w:b/>
                <w:bCs/>
                <w:color w:val="1F3A5F"/>
                <w:sz w:val="22"/>
                <w:szCs w:val="22"/>
              </w:rPr>
              <w:t xml:space="preserve">Not applicable for this client</w:t>
            </w:r>
          </w:p>
          <w:p>
            <w:r>
              <w:rPr>
                <w:sz w:val="20"/>
                <w:szCs w:val="20"/>
              </w:rPr>
              <w:t xml:space="preserve">The Holloway engagement is a pre-exit business owner archetype. This section is captured for post-exit clients only and remains blank here.</w:t>
            </w:r>
          </w:p>
        </w:tc>
      </w:tr>
    </w:tbl>
    <w:p>
      <w:pPr>
        <w:pStyle w:val="Heading1"/>
        <w:pageBreakBefore/>
        <w:spacing w:after="160" w:before="320"/>
      </w:pPr>
      <w:r>
        <w:rPr>
          <w:b/>
          <w:bCs/>
          <w:color w:val="1F3A5F"/>
        </w:rPr>
        <w:t xml:space="preserve">13. Goals, Values &amp; Constraints</w:t>
      </w:r>
    </w:p>
    <w:p>
      <w:pPr>
        <w:spacing w:after="120"/>
      </w:pPr>
      <w:r>
        <w:rPr>
          <w:i/>
          <w:iCs/>
          <w:color w:val="707070"/>
          <w:sz w:val="18"/>
          <w:szCs w:val="18"/>
        </w:rPr>
        <w:t xml:space="preserve">[REQUIRED — All engagements] This section drives every recommendation. Capture in the client's own framing where possible.</w:t>
      </w:r>
    </w:p>
    <w:p>
      <w:pPr>
        <w:pStyle w:val="Heading2"/>
        <w:spacing w:after="120" w:before="240"/>
      </w:pPr>
      <w:r>
        <w:rPr>
          <w:b/>
          <w:bCs/>
          <w:color w:val="1F3A5F"/>
        </w:rPr>
        <w:t xml:space="preserve">13.1 Goals — Ranked</w:t>
      </w:r>
    </w:p>
    <w:p>
      <w:pPr>
        <w:spacing w:after="120"/>
      </w:pPr>
      <w:r>
        <w:rPr>
          <w:i/>
          <w:iCs/>
          <w:color w:val="707070"/>
          <w:sz w:val="18"/>
          <w:szCs w:val="18"/>
        </w:rPr>
        <w:t xml:space="preserve">List goals in priority order. Each goal: short label + plain-English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6140"/>
      </w:tblGrid>
      <w:tr>
        <w:trPr>
          <w:tblHeader/>
        </w:trPr>
        <w:tc>
          <w:tcPr>
            <w:tcW w:type="dxa" w:w="6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w:t>
            </w:r>
          </w:p>
        </w:tc>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Goal</w:t>
            </w:r>
          </w:p>
        </w:tc>
        <w:tc>
          <w:tcPr>
            <w:tcW w:type="dxa" w:w="61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What this means in practice</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Maximize After-Tax Sale Proceeds</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Position HIS for a 3–5 year transaction window with the structural and tax planning that compounds value retained.</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Take Care of Derek</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Treat Derek's 12% fairly through any transition — both as economic owner and as key continuity person.</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Estate Planning</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Reduce the projected $11M+ estate-tax exposure through a layered structure of trusts, gifts, and life insurance.</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Entity &amp; Real Estate Structure</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Separate the Kennesaw real estate from the operating company, build a holding-company layer for future flexibility.</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Tax Strategy</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Capture the federal benefit of Georgia's PTET, optimize W-2 vs K-1 mix, evaluate cost segregation, §469 grouping, cash-balance plan.</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Children's Provision Without Demotivation</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Fund education and a meaningful head start, with controls preventing unrestricted access before age 35.</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Catherine's Real Estate Vision</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Build structural capacity for Catherine to deploy meaningful capital into real estate development post-exit.</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8</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Risk Management</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Match life, disability, and key-person coverage to actual exposures.</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9</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Personal Investment Diversification</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Build wealth outside the business; begin systematic taxable brokerage funding; structure asset location.</w:t>
            </w:r>
          </w:p>
        </w:tc>
      </w:tr>
      <w:tr>
        <w:tc>
          <w:tcPr>
            <w:tcW w:type="dxa" w:w="6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3A5F"/>
                <w:sz w:val="20"/>
                <w:szCs w:val="20"/>
              </w:rPr>
              <w:t xml:space="preserve">10</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Philanthropic Vehicles</w:t>
            </w:r>
          </w:p>
        </w:tc>
        <w:tc>
          <w:tcPr>
            <w:tcW w:type="dxa" w:w="61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DAF near-term, family foundation post-liquidity, with the children eventually involved in governance.</w:t>
            </w:r>
          </w:p>
        </w:tc>
      </w:tr>
    </w:tbl>
    <w:p>
      <w:pPr>
        <w:pStyle w:val="Heading2"/>
        <w:spacing w:after="120" w:before="240"/>
      </w:pPr>
      <w:r>
        <w:rPr>
          <w:b/>
          <w:bCs/>
          <w:color w:val="1F3A5F"/>
        </w:rPr>
        <w:t xml:space="preserve">13.2 Values</w:t>
      </w:r>
    </w:p>
    <w:p>
      <w:pPr>
        <w:spacing w:after="120"/>
      </w:pPr>
      <w:r>
        <w:rPr>
          <w:i/>
          <w:iCs/>
          <w:color w:val="707070"/>
          <w:sz w:val="18"/>
          <w:szCs w:val="18"/>
        </w:rPr>
        <w:t xml:space="preserve">What does the client care about beyond financial outcomes? Philanthropic intent, legacy priorities, family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Marcus values the dignity of skilled trades work — built HIS deliberately as a place where field people are paid and respected like the professionals they are. Wants to extend that through trade scholarships at North Cobb Tech. Catherine values community health access (her board work at the children's hospital) and sees philanthropy as how the children learn responsibility for wealth they did not create. Both deeply value the operating partner relationship with Derek; "taking care of Derek" is a values position, not just a planning priority.</w:t>
            </w:r>
          </w:p>
        </w:tc>
      </w:tr>
    </w:tbl>
    <w:p>
      <w:pPr>
        <w:pStyle w:val="Heading2"/>
        <w:spacing w:after="120" w:before="240"/>
      </w:pPr>
      <w:r>
        <w:rPr>
          <w:b/>
          <w:bCs/>
          <w:color w:val="1F3A5F"/>
        </w:rPr>
        <w:t xml:space="preserve">13.3 Hard Constraints</w:t>
      </w:r>
    </w:p>
    <w:p>
      <w:pPr>
        <w:spacing w:after="120"/>
      </w:pPr>
      <w:r>
        <w:rPr>
          <w:i/>
          <w:iCs/>
          <w:color w:val="707070"/>
          <w:sz w:val="18"/>
          <w:szCs w:val="18"/>
        </w:rPr>
        <w:t xml:space="preserve">Hard rules. These shape recommendations and are not subject to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1. Will NOT sell to a buyer who would relocate operations or eliminate Derek's role.
2. Will NOT give children unrestricted access to inherited wealth before age 35.
3. Marcus will NOT personally guarantee debt for any new venture post-exit.
4. Catherine wants the family foundation eventually — not just a DAF — with the children involved in governance.
5. No buyer pursuing strip-and-flip economics; intact business is non-negotiable.</w:t>
            </w:r>
          </w:p>
        </w:tc>
      </w:tr>
    </w:tbl>
    <w:p>
      <w:pPr>
        <w:pStyle w:val="Heading2"/>
        <w:spacing w:after="120" w:before="240"/>
      </w:pPr>
      <w:r>
        <w:rPr>
          <w:b/>
          <w:bCs/>
          <w:color w:val="1F3A5F"/>
        </w:rPr>
        <w:t xml:space="preserve">13.4 Soft Preferences</w:t>
      </w:r>
    </w:p>
    <w:p>
      <w:pPr>
        <w:spacing w:after="120"/>
      </w:pPr>
      <w:r>
        <w:rPr>
          <w:i/>
          <w:iCs/>
          <w:color w:val="707070"/>
          <w:sz w:val="18"/>
          <w:szCs w:val="18"/>
        </w:rPr>
        <w:t xml:space="preserve">Preferences that influence but do not dictate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Prefer named GA-based or Southeast-based attorneys and CPAs; Marcus values the in-person relationship. Catherine prefers Schwab over Fidelity (relationship history). Marcus is open to private markets in personal portfolio post-liquidity but skeptical of complex structures.</w:t>
            </w:r>
          </w:p>
        </w:tc>
      </w:tr>
    </w:tbl>
    <w:p>
      <w:pPr>
        <w:pStyle w:val="Heading1"/>
        <w:pageBreakBefore/>
        <w:spacing w:after="160" w:before="320"/>
      </w:pPr>
      <w:r>
        <w:rPr>
          <w:b/>
          <w:bCs/>
          <w:color w:val="1F3A5F"/>
        </w:rPr>
        <w:t xml:space="preserve">14. Current Advisory Team</w:t>
      </w:r>
    </w:p>
    <w:p>
      <w:pPr>
        <w:spacing w:after="120"/>
      </w:pPr>
      <w:r>
        <w:rPr>
          <w:i/>
          <w:iCs/>
          <w:color w:val="707070"/>
          <w:sz w:val="18"/>
          <w:szCs w:val="18"/>
        </w:rPr>
        <w:t xml:space="preserve">[REQUIRED — All engagements] Capture every existing professional relationship. Identify gaps that need filling.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1560"/>
        <w:gridCol w:w="3120"/>
      </w:tblGrid>
      <w:tr>
        <w:trPr>
          <w:tblHeader/>
        </w:trPr>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Role</w:t>
            </w:r>
          </w:p>
        </w:tc>
        <w:tc>
          <w:tcPr>
            <w:tcW w:type="dxa" w:w="260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Firm / Contact</w:t>
            </w:r>
          </w:p>
        </w:tc>
        <w:tc>
          <w:tcPr>
            <w:tcW w:type="dxa" w:w="156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Status</w:t>
            </w:r>
          </w:p>
        </w:tc>
        <w:tc>
          <w:tcPr>
            <w:tcW w:type="dxa" w:w="31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CPA</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Local generalist</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Recommend transition — see Decisions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Estate Attorney</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Gap</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 to introduce</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Business Attorney</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 (general practice)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Adequate for ops; replace for transactional work</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M&amp;A Counsel</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Gap (engage T-12 mo)</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Banker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Truist</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Strong relationship</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P&amp;C Agent</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Allstate (personal)</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Review + upgrade</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Commercial P&amp;C</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Carrier in place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Health Insurance Broker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Payroll Provider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Paychex</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Investment Advisor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Schwab (self-directed)</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Existing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Will become PSA</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Specialty Tax Credits</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Gap</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R&amp;D study candidate</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sz w:val="20"/>
                <w:szCs w:val="20"/>
              </w:rPr>
              <w:t xml:space="preserve">Valuation / QofE</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Gap (engage T-12 mo)</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 </w:t>
            </w:r>
          </w:p>
        </w:tc>
      </w:tr>
    </w:tbl>
    <w:p>
      <w:pPr>
        <w:pStyle w:val="Heading1"/>
        <w:pageBreakBefore/>
        <w:spacing w:after="160" w:before="320"/>
      </w:pPr>
      <w:r>
        <w:rPr>
          <w:b/>
          <w:bCs/>
          <w:color w:val="1F3A5F"/>
        </w:rPr>
        <w:t xml:space="preserve">15. Documents Received &amp; Outstanding</w:t>
      </w:r>
    </w:p>
    <w:p>
      <w:pPr>
        <w:spacing w:after="120"/>
      </w:pPr>
      <w:r>
        <w:rPr>
          <w:i/>
          <w:iCs/>
          <w:color w:val="707070"/>
          <w:sz w:val="18"/>
          <w:szCs w:val="18"/>
        </w:rPr>
        <w:t xml:space="preserve">[REQUIRED — All engagements] Track every document collected during discovery. Critical for forensic audit.</w:t>
      </w:r>
    </w:p>
    <w:p>
      <w:pPr>
        <w:pStyle w:val="Heading2"/>
        <w:spacing w:after="120" w:before="240"/>
      </w:pPr>
      <w:r>
        <w:rPr>
          <w:b/>
          <w:bCs/>
          <w:color w:val="1F3A5F"/>
        </w:rPr>
        <w:t xml:space="preserve">15.1 Documents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820"/>
        <w:gridCol w:w="1820"/>
        <w:gridCol w:w="2080"/>
      </w:tblGrid>
      <w:tr>
        <w:trPr>
          <w:tblHeader/>
        </w:trPr>
        <w:tc>
          <w:tcPr>
            <w:tcW w:type="dxa" w:w="364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Document</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Date Received</w:t>
            </w:r>
          </w:p>
        </w:tc>
        <w:tc>
          <w:tcPr>
            <w:tcW w:type="dxa" w:w="182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Verified By</w:t>
            </w:r>
          </w:p>
        </w:tc>
        <w:tc>
          <w:tcPr>
            <w:tcW w:type="dxa" w:w="2080"/>
            <w:tcBorders>
              <w:top w:val="single" w:color="1F3A5F" w:sz="4"/>
              <w:left w:val="single" w:color="1F3A5F" w:sz="4"/>
              <w:bottom w:val="single" w:color="1F3A5F" w:sz="4"/>
              <w:right w:val="single" w:color="1F3A5F" w:sz="4"/>
            </w:tcBorders>
            <w:shd w:fill="1F3A5F" w:val="clear"/>
            <w:tcMar>
              <w:top w:type="dxa" w:w="100"/>
              <w:left w:type="dxa" w:w="140"/>
              <w:bottom w:type="dxa" w:w="100"/>
              <w:right w:type="dxa" w:w="140"/>
            </w:tcMar>
          </w:tcPr>
          <w:p>
            <w:r>
              <w:rPr>
                <w:b/>
                <w:bCs/>
                <w:color w:val="FFFFFF"/>
                <w:sz w:val="20"/>
                <w:szCs w:val="20"/>
              </w:rPr>
              <w:t xml:space="preserve">Storage Location</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2024 business tax return (1120-S)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 business tax return</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2022 business tax return</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2024 personal tax return (1040)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 personal tax return</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2022 personal tax return</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18,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LLC Operating Agreement (HIS)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25,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Pending attorney review</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Will — Marcus (2014)</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25,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Pending attorney review</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Will — Catherine (2014)</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Feb 25,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Pending attorney review</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Personal balance sheet (client-prepared)</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 4,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Insurance policy summaries (life, P&amp;C)</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 11,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r>
        <w:tc>
          <w:tcPr>
            <w:tcW w:type="dxa" w:w="36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Mortgage statements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 11, 2026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PSA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Client folder</w:t>
            </w:r>
          </w:p>
        </w:tc>
      </w:tr>
    </w:tbl>
    <w:p>
      <w:pPr>
        <w:pStyle w:val="Heading2"/>
        <w:spacing w:after="120" w:before="240"/>
      </w:pPr>
      <w:r>
        <w:rPr>
          <w:b/>
          <w:bCs/>
          <w:color w:val="1F3A5F"/>
        </w:rPr>
        <w:t xml:space="preserve">15.2 Documents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Standalone buy/sell document (referenced in operating agreement but does not appear to exist as a separate document — to be confirmed). Detailed monthly P&amp;L for 2024 (current copy is summary). Group benefits plan documents.</w:t>
            </w:r>
          </w:p>
        </w:tc>
      </w:tr>
    </w:tbl>
    <w:p>
      <w:pPr>
        <w:pStyle w:val="Heading1"/>
        <w:pageBreakBefore/>
        <w:spacing w:after="160" w:before="320"/>
      </w:pPr>
      <w:r>
        <w:rPr>
          <w:b/>
          <w:bCs/>
          <w:color w:val="1F3A5F"/>
        </w:rPr>
        <w:t xml:space="preserve">16. Discovery Notes &amp; Open Items</w:t>
      </w:r>
    </w:p>
    <w:p>
      <w:pPr>
        <w:spacing w:after="120"/>
      </w:pPr>
      <w:r>
        <w:rPr>
          <w:i/>
          <w:iCs/>
          <w:color w:val="707070"/>
          <w:sz w:val="18"/>
          <w:szCs w:val="18"/>
        </w:rPr>
        <w:t xml:space="preserve">[REQUIRED — All engagements] Free-form section for advisor judgment, observations not captured elsewhere, and open items requiring follow-up.</w:t>
      </w:r>
    </w:p>
    <w:p>
      <w:pPr>
        <w:pStyle w:val="Heading2"/>
        <w:spacing w:after="120" w:before="240"/>
      </w:pPr>
      <w:r>
        <w:rPr>
          <w:b/>
          <w:bCs/>
          <w:color w:val="1F3A5F"/>
        </w:rPr>
        <w:t xml:space="preserve">16.1 Advisor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Marcus is decisive and process-oriented; will move quickly once a recommendation is well-justified. Catherine is the relational anchor for any decisions involving family — particularly anything affecting the children. Joint decisions move best when Catherine is engaged early. Marcus initially understated the inbound interest from buyers; only volunteered specifics in the second working session. Worth treating the 3–5 year transaction window as plausibly shorter than Marcus's stated timeline. Derek is genuinely strong operationally and the relationship between Marcus and Derek is healthy, but Derek's economic position has not been formalized in years. Whatever path is chosen, Derek needs clarity. Family communication about wealth has been minimal. Olivia knows generally; James and Sophie have no awareness of net-worth scale. Catherine wants this to change deliberately as the children enter adulthood, but is cautious about timing.</w:t>
            </w:r>
          </w:p>
        </w:tc>
      </w:tr>
    </w:tbl>
    <w:p>
      <w:pPr>
        <w:pStyle w:val="Heading2"/>
        <w:spacing w:after="120" w:before="240"/>
      </w:pPr>
      <w:r>
        <w:rPr>
          <w:b/>
          <w:bCs/>
          <w:color w:val="1F3A5F"/>
        </w:rPr>
        <w:t xml:space="preserve">16.2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sz w:val="20"/>
                <w:szCs w:val="20"/>
              </w:rPr>
              <w:t xml:space="preserve">1. Confirm whether standalone buy/sell document exists or only the operating-agreement paragraph.
2. Obtain detailed monthly P&amp;L for 2024 (currently have summary only).
3. Confirm Marcus's mother's long-term care insurance status (we believe none, to verify).
4. Confirm Derek's spouse's involvement / attribution considerations for transfer planning.
5. Determine attorney candidate for ILIT trustee role (corporate trustee vs individual).
6. Schedule introduction calls with two candidate CPAs and recommended estate attorney.</w:t>
            </w:r>
          </w:p>
        </w:tc>
      </w:tr>
    </w:tbl>
    <w:p>
      <w:pPr>
        <w:pStyle w:val="Heading1"/>
        <w:pageBreakBefore/>
        <w:spacing w:after="160" w:before="320"/>
      </w:pPr>
      <w:r>
        <w:rPr>
          <w:b/>
          <w:bCs/>
          <w:color w:val="1F3A5F"/>
        </w:rPr>
        <w:t xml:space="preserve">17. Senior Advisor Sign-Off</w:t>
      </w:r>
    </w:p>
    <w:p>
      <w:pPr>
        <w:spacing w:after="120"/>
      </w:pPr>
      <w:r>
        <w:rPr>
          <w:i/>
          <w:iCs/>
          <w:color w:val="707070"/>
          <w:sz w:val="18"/>
          <w:szCs w:val="18"/>
        </w:rPr>
        <w:t xml:space="preserve">[REQUIRED — All engagements] Required before plan generation. Confirms the Fact Review is complete, accurate, and ready to feed the planning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Reviewed and approved by (name)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Will Bearden</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Title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Owner &amp; Financial Planner</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Date of Sign-Off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April 22, 2026</w:t>
            </w:r>
          </w:p>
        </w:tc>
      </w:tr>
      <w:tr>
        <w:tc>
          <w:tcPr>
            <w:tcW w:type="dxa" w:w="3120"/>
            <w:tcBorders>
              <w:top w:val="single" w:color="BFBFBF" w:sz="4"/>
              <w:left w:val="single" w:color="BFBFBF" w:sz="4"/>
              <w:bottom w:val="single" w:color="BFBFBF" w:sz="4"/>
              <w:right w:val="single" w:color="BFBFBF" w:sz="4"/>
            </w:tcBorders>
            <w:shd w:fill="F7F9FB" w:val="clear"/>
            <w:tcMar>
              <w:top w:type="dxa" w:w="80"/>
              <w:left w:type="dxa" w:w="140"/>
              <w:bottom w:type="dxa" w:w="80"/>
              <w:right w:type="dxa" w:w="140"/>
            </w:tcMar>
          </w:tcPr>
          <w:p>
            <w:r>
              <w:rPr>
                <w:b/>
                <w:bCs/>
                <w:color w:val="1F3A5F"/>
                <w:sz w:val="20"/>
                <w:szCs w:val="20"/>
              </w:rPr>
              <w:t xml:space="preserve">Signature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color w:val="000000"/>
                <w:sz w:val="20"/>
                <w:szCs w:val="20"/>
              </w:rPr>
              <w:t xml:space="preserve">/s/ Will Bearden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AF0F6" w:val="clear"/>
            <w:tcMar>
              <w:top w:type="dxa" w:w="140"/>
              <w:left w:type="dxa" w:w="200"/>
              <w:bottom w:type="dxa" w:w="140"/>
              <w:right w:type="dxa" w:w="200"/>
            </w:tcMar>
          </w:tcPr>
          <w:p>
            <w:pPr>
              <w:spacing w:after="80"/>
            </w:pPr>
            <w:r>
              <w:rPr>
                <w:b/>
                <w:bCs/>
                <w:color w:val="1F3A5F"/>
                <w:sz w:val="22"/>
                <w:szCs w:val="22"/>
              </w:rPr>
              <w:t xml:space="preserve">Sign-off attestation</w:t>
            </w:r>
          </w:p>
          <w:p>
            <w:r>
              <w:rPr>
                <w:sz w:val="20"/>
                <w:szCs w:val="20"/>
              </w:rPr>
              <w:t xml:space="preserve">By signing above, the senior advisor attests that: (1) every required field has been completed or marked as known-unknown; (2) source documents have been received or are tracked as outstanding; (3) the client's goals, values, and constraints have been verified directly with the client; and (4) the Fact Review is ready to be ingested by the planning engine for plan generation.</w:t>
            </w:r>
          </w:p>
        </w:tc>
      </w:tr>
    </w:tbl>
    <w:p>
      <w:pPr>
        <w:pStyle w:val="Heading2"/>
        <w:spacing w:after="120" w:before="240"/>
      </w:pPr>
      <w:r>
        <w:rPr>
          <w:b/>
          <w:bCs/>
          <w:color w:val="1F3A5F"/>
        </w:rPr>
        <w:t xml:space="preserve">Plan Generation Trigger</w:t>
      </w:r>
    </w:p>
    <w:p>
      <w:pPr>
        <w:pStyle w:val="ListParagraph"/>
        <w:numPr>
          <w:ilvl w:val="0"/>
          <w:numId w:val="2"/>
        </w:numPr>
        <w:spacing w:after="60"/>
      </w:pPr>
      <w:r>
        <w:t xml:space="preserve">This Fact Review will be loaded into the planning system.</w:t>
      </w:r>
    </w:p>
    <w:p>
      <w:pPr>
        <w:pStyle w:val="ListParagraph"/>
        <w:numPr>
          <w:ilvl w:val="0"/>
          <w:numId w:val="2"/>
        </w:numPr>
        <w:spacing w:after="60"/>
      </w:pPr>
      <w:r>
        <w:t xml:space="preserve">Plan generation will produce both the layered internal plan (with full citations and reasoning) and the client-facing plan.</w:t>
      </w:r>
    </w:p>
    <w:p>
      <w:pPr>
        <w:pStyle w:val="ListParagraph"/>
        <w:numPr>
          <w:ilvl w:val="0"/>
          <w:numId w:val="2"/>
        </w:numPr>
        <w:spacing w:after="60"/>
      </w:pPr>
      <w:r>
        <w:t xml:space="preserve">Senior advisor review of the generated plan is required before client delivery.</w:t>
      </w:r>
    </w:p>
    <w:p>
      <w:pPr>
        <w:pStyle w:val="ListParagraph"/>
        <w:numPr>
          <w:ilvl w:val="0"/>
          <w:numId w:val="2"/>
        </w:numPr>
        <w:spacing w:after="60"/>
      </w:pPr>
      <w:r>
        <w:t xml:space="preserve">All future updates to client facts will be captured as track-changes to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07070"/>
        <w:sz w:val="18"/>
        <w:szCs w:val="18"/>
      </w:rPr>
      <w:t xml:space="preserve">Confidential — Prepared for Client    ·    Page </w:t>
    </w:r>
    <w:r>
      <w:rPr>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b/>
        <w:bCs/>
        <w:color w:val="1F3A5F"/>
        <w:sz w:val="18"/>
        <w:szCs w:val="18"/>
      </w:rPr>
      <w:t xml:space="preserve">PSA WEALTH  </w:t>
    </w:r>
    <w:r>
      <w:rPr>
        <w:color w:val="707070"/>
        <w:sz w:val="18"/>
        <w:szCs w:val="18"/>
      </w:rPr>
      <w:t xml:space="preserve">│  Client Fact Review  │  Holloway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Holloway Client Fact Review</dc:title>
  <dc:creator>PSA Wealth</dc:creator>
  <dc:description>Client discovery and fact review document</dc:description>
  <cp:lastModifiedBy>Un-named</cp:lastModifiedBy>
  <cp:revision>1</cp:revision>
  <dcterms:created xsi:type="dcterms:W3CDTF">2026-04-30T01:34:47.583Z</dcterms:created>
  <dcterms:modified xsi:type="dcterms:W3CDTF">2026-04-30T01:34:47.583Z</dcterms:modified>
</cp:coreProperties>
</file>

<file path=docProps/custom.xml><?xml version="1.0" encoding="utf-8"?>
<Properties xmlns="http://schemas.openxmlformats.org/officeDocument/2006/custom-properties" xmlns:vt="http://schemas.openxmlformats.org/officeDocument/2006/docPropsVTypes"/>
</file>