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2"/>
          <w:szCs w:val="62"/>
        </w:rPr>
      </w:pPr>
      <w:bookmarkStart w:colFirst="0" w:colLast="0" w:name="_2gazcsgmxkub" w:id="1"/>
      <w:bookmarkEnd w:id="1"/>
      <w:r w:rsidDel="00000000" w:rsidR="00000000" w:rsidRPr="00000000">
        <w:rPr>
          <w:rtl w:val="0"/>
        </w:rPr>
        <w:t xml:space="preserve">Technical design | </w:t>
      </w:r>
      <w:r w:rsidDel="00000000" w:rsidR="00000000" w:rsidRPr="00000000">
        <w:rPr>
          <w:sz w:val="62"/>
          <w:szCs w:val="62"/>
          <w:rtl w:val="0"/>
        </w:rPr>
        <w:t xml:space="preserve">Cloud migration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16/05/2024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Subtitle"/>
        <w:jc w:val="center"/>
        <w:rPr>
          <w:sz w:val="40"/>
          <w:szCs w:val="40"/>
        </w:rPr>
      </w:pPr>
      <w:bookmarkStart w:colFirst="0" w:colLast="0" w:name="_qjzkm26ixfaa" w:id="3"/>
      <w:bookmarkEnd w:id="3"/>
      <w:r w:rsidDel="00000000" w:rsidR="00000000" w:rsidRPr="00000000">
        <w:rPr>
          <w:sz w:val="40"/>
          <w:szCs w:val="40"/>
          <w:rtl w:val="0"/>
        </w:rPr>
        <w:t xml:space="preserve">Overview</w:t>
      </w:r>
    </w:p>
    <w:p w:rsidR="00000000" w:rsidDel="00000000" w:rsidP="00000000" w:rsidRDefault="00000000" w:rsidRPr="00000000" w14:paraId="00000007">
      <w:pPr>
        <w:jc w:val="center"/>
        <w:rPr/>
      </w:pPr>
      <w:r w:rsidDel="00000000" w:rsidR="00000000" w:rsidRPr="00000000">
        <w:rPr>
          <w:rtl w:val="0"/>
        </w:rPr>
        <w:t xml:space="preserve">A detailed design and firm costs to migrate our critical line-of-business</w:t>
      </w:r>
    </w:p>
    <w:p w:rsidR="00000000" w:rsidDel="00000000" w:rsidP="00000000" w:rsidRDefault="00000000" w:rsidRPr="00000000" w14:paraId="00000008">
      <w:pPr>
        <w:jc w:val="center"/>
        <w:rPr/>
      </w:pPr>
      <w:r w:rsidDel="00000000" w:rsidR="00000000" w:rsidRPr="00000000">
        <w:rPr>
          <w:rtl w:val="0"/>
        </w:rPr>
        <w:t xml:space="preserve">application PETRA to the Amazon Web Services cloud. Including annual AWS cloud costs and cost of support.</w:t>
      </w:r>
    </w:p>
    <w:p w:rsidR="00000000" w:rsidDel="00000000" w:rsidP="00000000" w:rsidRDefault="00000000" w:rsidRPr="00000000" w14:paraId="00000009">
      <w:pPr>
        <w:rPr/>
        <w:sectPr>
          <w:headerReference r:id="rId7" w:type="default"/>
          <w:headerReference r:id="rId8" w:type="first"/>
          <w:footerReference r:id="rId9" w:type="first"/>
          <w:pgSz w:h="15840" w:w="12240" w:orient="portrait"/>
          <w:pgMar w:bottom="1080" w:top="1080" w:left="1440" w:right="1440" w:header="0" w:footer="720"/>
          <w:pgNumType w:start="0"/>
          <w:titlePg w:val="1"/>
        </w:sectPr>
      </w:pPr>
      <w:r w:rsidDel="00000000" w:rsidR="00000000" w:rsidRPr="00000000">
        <w:rPr>
          <w:rtl w:val="0"/>
        </w:rPr>
      </w:r>
    </w:p>
    <w:p w:rsidR="00000000" w:rsidDel="00000000" w:rsidP="00000000" w:rsidRDefault="00000000" w:rsidRPr="00000000" w14:paraId="0000000A">
      <w:pPr>
        <w:pStyle w:val="Heading1"/>
        <w:jc w:val="center"/>
        <w:rPr>
          <w:color w:val="000000"/>
          <w:sz w:val="46"/>
          <w:szCs w:val="46"/>
        </w:rPr>
      </w:pPr>
      <w:bookmarkStart w:colFirst="0" w:colLast="0" w:name="_ol6jlpk836xp" w:id="4"/>
      <w:bookmarkEnd w:id="4"/>
      <w:r w:rsidDel="00000000" w:rsidR="00000000" w:rsidRPr="00000000">
        <w:rPr>
          <w:color w:val="000000"/>
          <w:sz w:val="46"/>
          <w:szCs w:val="46"/>
          <w:rtl w:val="0"/>
        </w:rPr>
        <w:t xml:space="preserve">Design Diagram</w:t>
      </w:r>
      <w:r w:rsidDel="00000000" w:rsidR="00000000" w:rsidRPr="00000000">
        <w:drawing>
          <wp:anchor allowOverlap="1" behindDoc="0" distB="114300" distT="114300" distL="114300" distR="114300" hidden="0" layoutInCell="1" locked="0" relativeHeight="0" simplePos="0">
            <wp:simplePos x="0" y="0"/>
            <wp:positionH relativeFrom="column">
              <wp:posOffset>-2257424</wp:posOffset>
            </wp:positionH>
            <wp:positionV relativeFrom="paragraph">
              <wp:posOffset>1771650</wp:posOffset>
            </wp:positionV>
            <wp:extent cx="9106105" cy="4805363"/>
            <wp:effectExtent b="0" l="0" r="0" t="0"/>
            <wp:wrapNone/>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106105" cy="4805363"/>
                    </a:xfrm>
                    <a:prstGeom prst="rect"/>
                    <a:ln/>
                  </pic:spPr>
                </pic:pic>
              </a:graphicData>
            </a:graphic>
          </wp:anchor>
        </w:drawing>
      </w:r>
    </w:p>
    <w:p w:rsidR="00000000" w:rsidDel="00000000" w:rsidP="00000000" w:rsidRDefault="00000000" w:rsidRPr="00000000" w14:paraId="0000000B">
      <w:pPr>
        <w:jc w:val="center"/>
        <w:rPr/>
        <w:sectPr>
          <w:type w:val="nextPage"/>
          <w:pgSz w:h="15840" w:w="12240" w:orient="portrait"/>
          <w:pgMar w:bottom="1080" w:top="1080" w:left="1440" w:right="1440" w:header="0" w:footer="720"/>
        </w:sectPr>
      </w:pPr>
      <w:r w:rsidDel="00000000" w:rsidR="00000000" w:rsidRPr="00000000">
        <w:rPr>
          <w:rtl w:val="0"/>
        </w:rPr>
        <w:t xml:space="preserve">The diagram is not 100% complete because of the shape limit on lucidchart. </w:t>
      </w:r>
      <w:r w:rsidDel="00000000" w:rsidR="00000000" w:rsidRPr="00000000">
        <w:rPr>
          <w:rtl w:val="0"/>
        </w:rPr>
      </w:r>
    </w:p>
    <w:p w:rsidR="00000000" w:rsidDel="00000000" w:rsidP="00000000" w:rsidRDefault="00000000" w:rsidRPr="00000000" w14:paraId="0000000C">
      <w:pPr>
        <w:pStyle w:val="Heading1"/>
        <w:jc w:val="center"/>
        <w:rPr>
          <w:color w:val="000000"/>
          <w:sz w:val="46"/>
          <w:szCs w:val="46"/>
        </w:rPr>
      </w:pPr>
      <w:bookmarkStart w:colFirst="0" w:colLast="0" w:name="_fbrum9hokldj" w:id="5"/>
      <w:bookmarkEnd w:id="5"/>
      <w:r w:rsidDel="00000000" w:rsidR="00000000" w:rsidRPr="00000000">
        <w:rPr>
          <w:color w:val="000000"/>
          <w:sz w:val="46"/>
          <w:szCs w:val="46"/>
          <w:rtl w:val="0"/>
        </w:rPr>
        <w:t xml:space="preserve">Thoughts behind the design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color w:val="000000"/>
          <w:sz w:val="26"/>
          <w:szCs w:val="26"/>
        </w:rPr>
      </w:pPr>
      <w:r w:rsidDel="00000000" w:rsidR="00000000" w:rsidRPr="00000000">
        <w:rPr>
          <w:color w:val="000000"/>
          <w:sz w:val="26"/>
          <w:szCs w:val="26"/>
          <w:rtl w:val="0"/>
        </w:rPr>
        <w:t xml:space="preserve">This is a three tier application that consists of a web layer, application layer and database layer. The web layer will be within a public subnet and have an Ec2 instance that will be running on the Microsoft windows server 2008 AMI. The application layer will be within a private subnet also running on the Microsoft windows server 2008 AMI. There will be a route table directing to the NAT gateway. The database layer is within a private subnet and contains a RDS (microsoft SQL server). </w:t>
      </w:r>
    </w:p>
    <w:p w:rsidR="00000000" w:rsidDel="00000000" w:rsidP="00000000" w:rsidRDefault="00000000" w:rsidRPr="00000000" w14:paraId="0000000F">
      <w:pPr>
        <w:rPr>
          <w:color w:val="000000"/>
          <w:sz w:val="26"/>
          <w:szCs w:val="26"/>
        </w:rPr>
      </w:pPr>
      <w:r w:rsidDel="00000000" w:rsidR="00000000" w:rsidRPr="00000000">
        <w:rPr>
          <w:color w:val="000000"/>
          <w:sz w:val="26"/>
          <w:szCs w:val="26"/>
          <w:rtl w:val="0"/>
        </w:rPr>
        <w:t xml:space="preserve">All of the above is across 2 availability zones for high availability.This means if one AZ is to go down the application will still be available. The primary database will be in sync with the standby database in the other AZ in case one AZ goes down. The standby DB will start serving the requests from the application server. The ELB will divide the traffic between the 2 AZs or will only send traffic to a healthy server.</w:t>
      </w:r>
    </w:p>
    <w:p w:rsidR="00000000" w:rsidDel="00000000" w:rsidP="00000000" w:rsidRDefault="00000000" w:rsidRPr="00000000" w14:paraId="00000010">
      <w:pPr>
        <w:rPr>
          <w:color w:val="000000"/>
          <w:sz w:val="26"/>
          <w:szCs w:val="26"/>
        </w:rPr>
      </w:pPr>
      <w:r w:rsidDel="00000000" w:rsidR="00000000" w:rsidRPr="00000000">
        <w:rPr>
          <w:color w:val="000000"/>
          <w:sz w:val="26"/>
          <w:szCs w:val="26"/>
          <w:rtl w:val="0"/>
        </w:rPr>
        <w:t xml:space="preserve">The instances within each subnet will be assigned an autoscaling group which will be linked to a cloudwatch alarm/event in order to scale up or down depending on the policy.</w:t>
      </w:r>
    </w:p>
    <w:p w:rsidR="00000000" w:rsidDel="00000000" w:rsidP="00000000" w:rsidRDefault="00000000" w:rsidRPr="00000000" w14:paraId="00000011">
      <w:pPr>
        <w:rPr>
          <w:color w:val="000000"/>
          <w:sz w:val="26"/>
          <w:szCs w:val="26"/>
        </w:rPr>
      </w:pPr>
      <w:r w:rsidDel="00000000" w:rsidR="00000000" w:rsidRPr="00000000">
        <w:rPr>
          <w:color w:val="000000"/>
          <w:sz w:val="26"/>
          <w:szCs w:val="26"/>
          <w:rtl w:val="0"/>
        </w:rPr>
        <w:t xml:space="preserve">Cloudwatch will monitor resources health and performance and trigger alerts to the first/second line support team. CloudTrail will monitor user activity.</w:t>
      </w:r>
    </w:p>
    <w:p w:rsidR="00000000" w:rsidDel="00000000" w:rsidP="00000000" w:rsidRDefault="00000000" w:rsidRPr="00000000" w14:paraId="00000012">
      <w:pPr>
        <w:rPr>
          <w:color w:val="000000"/>
          <w:sz w:val="26"/>
          <w:szCs w:val="26"/>
        </w:rPr>
      </w:pPr>
      <w:r w:rsidDel="00000000" w:rsidR="00000000" w:rsidRPr="00000000">
        <w:rPr>
          <w:color w:val="000000"/>
          <w:sz w:val="26"/>
          <w:szCs w:val="26"/>
          <w:rtl w:val="0"/>
        </w:rPr>
        <w:t xml:space="preserve">Backups of data will be stored in S3 and will be moved into glacier deep archive to save costs by following the s3 lifecycle management.</w:t>
      </w:r>
    </w:p>
    <w:p w:rsidR="00000000" w:rsidDel="00000000" w:rsidP="00000000" w:rsidRDefault="00000000" w:rsidRPr="00000000" w14:paraId="00000013">
      <w:pPr>
        <w:rPr>
          <w:color w:val="000000"/>
          <w:sz w:val="26"/>
          <w:szCs w:val="26"/>
        </w:rPr>
      </w:pPr>
      <w:r w:rsidDel="00000000" w:rsidR="00000000" w:rsidRPr="00000000">
        <w:rPr>
          <w:color w:val="000000"/>
          <w:sz w:val="26"/>
          <w:szCs w:val="26"/>
          <w:rtl w:val="0"/>
        </w:rPr>
        <w:t xml:space="preserve">IAM policies and following best practices will provide required access and keep the cloud solution secure. </w:t>
      </w:r>
    </w:p>
    <w:p w:rsidR="00000000" w:rsidDel="00000000" w:rsidP="00000000" w:rsidRDefault="00000000" w:rsidRPr="00000000" w14:paraId="00000014">
      <w:pPr>
        <w:rPr>
          <w:color w:val="000000"/>
          <w:sz w:val="26"/>
          <w:szCs w:val="26"/>
        </w:rPr>
      </w:pPr>
      <w:r w:rsidDel="00000000" w:rsidR="00000000" w:rsidRPr="00000000">
        <w:rPr>
          <w:rtl w:val="0"/>
        </w:rPr>
      </w:r>
    </w:p>
    <w:p w:rsidR="00000000" w:rsidDel="00000000" w:rsidP="00000000" w:rsidRDefault="00000000" w:rsidRPr="00000000" w14:paraId="00000015">
      <w:pPr>
        <w:rPr>
          <w:color w:val="000000"/>
          <w:sz w:val="26"/>
          <w:szCs w:val="26"/>
        </w:rPr>
      </w:pPr>
      <w:r w:rsidDel="00000000" w:rsidR="00000000" w:rsidRPr="00000000">
        <w:rPr>
          <w:rtl w:val="0"/>
        </w:rPr>
      </w:r>
    </w:p>
    <w:p w:rsidR="00000000" w:rsidDel="00000000" w:rsidP="00000000" w:rsidRDefault="00000000" w:rsidRPr="00000000" w14:paraId="00000016">
      <w:pPr>
        <w:rPr>
          <w:color w:val="000000"/>
          <w:sz w:val="26"/>
          <w:szCs w:val="26"/>
        </w:rPr>
      </w:pPr>
      <w:r w:rsidDel="00000000" w:rsidR="00000000" w:rsidRPr="00000000">
        <w:rPr>
          <w:rtl w:val="0"/>
        </w:rPr>
      </w:r>
    </w:p>
    <w:p w:rsidR="00000000" w:rsidDel="00000000" w:rsidP="00000000" w:rsidRDefault="00000000" w:rsidRPr="00000000" w14:paraId="00000017">
      <w:pPr>
        <w:rPr>
          <w:color w:val="000000"/>
          <w:sz w:val="26"/>
          <w:szCs w:val="26"/>
        </w:rPr>
      </w:pPr>
      <w:r w:rsidDel="00000000" w:rsidR="00000000" w:rsidRPr="00000000">
        <w:rPr>
          <w:rtl w:val="0"/>
        </w:rPr>
      </w:r>
    </w:p>
    <w:p w:rsidR="00000000" w:rsidDel="00000000" w:rsidP="00000000" w:rsidRDefault="00000000" w:rsidRPr="00000000" w14:paraId="00000018">
      <w:pPr>
        <w:pStyle w:val="Heading1"/>
        <w:jc w:val="center"/>
        <w:rPr>
          <w:color w:val="000000"/>
          <w:sz w:val="46"/>
          <w:szCs w:val="46"/>
        </w:rPr>
      </w:pPr>
      <w:bookmarkStart w:colFirst="0" w:colLast="0" w:name="_ho9r6cafhtg3" w:id="6"/>
      <w:bookmarkEnd w:id="6"/>
      <w:r w:rsidDel="00000000" w:rsidR="00000000" w:rsidRPr="00000000">
        <w:rPr>
          <w:color w:val="000000"/>
          <w:sz w:val="46"/>
          <w:szCs w:val="46"/>
          <w:rtl w:val="0"/>
        </w:rPr>
        <w:t xml:space="preserve">Pricing</w:t>
      </w:r>
      <w:r w:rsidDel="00000000" w:rsidR="00000000" w:rsidRPr="00000000">
        <w:drawing>
          <wp:anchor allowOverlap="1" behindDoc="1" distB="114300" distT="114300" distL="114300" distR="114300" hidden="0" layoutInCell="1" locked="0" relativeHeight="0" simplePos="0">
            <wp:simplePos x="0" y="0"/>
            <wp:positionH relativeFrom="column">
              <wp:posOffset>638175</wp:posOffset>
            </wp:positionH>
            <wp:positionV relativeFrom="paragraph">
              <wp:posOffset>666750</wp:posOffset>
            </wp:positionV>
            <wp:extent cx="4495800" cy="2200275"/>
            <wp:effectExtent b="0" l="0" r="0" t="0"/>
            <wp:wrapNone/>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95800" cy="2200275"/>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numPr>
          <w:ilvl w:val="0"/>
          <w:numId w:val="1"/>
        </w:numPr>
        <w:spacing w:after="0" w:afterAutospacing="0"/>
        <w:ind w:left="720" w:hanging="360"/>
        <w:rPr>
          <w:rFonts w:ascii="Roboto" w:cs="Roboto" w:eastAsia="Roboto" w:hAnsi="Roboto"/>
          <w:color w:val="1f1f1f"/>
          <w:sz w:val="18"/>
          <w:szCs w:val="18"/>
          <w:highlight w:val="white"/>
          <w:u w:val="none"/>
        </w:rPr>
      </w:pPr>
      <w:r w:rsidDel="00000000" w:rsidR="00000000" w:rsidRPr="00000000">
        <w:rPr>
          <w:rFonts w:ascii="Roboto" w:cs="Roboto" w:eastAsia="Roboto" w:hAnsi="Roboto"/>
          <w:color w:val="1f1f1f"/>
          <w:sz w:val="18"/>
          <w:szCs w:val="18"/>
          <w:highlight w:val="white"/>
          <w:rtl w:val="0"/>
        </w:rPr>
        <w:t xml:space="preserve">Tenancy (Dedicated Instances), Operating system (Windows Server), Workload (Consistent, Number of instances: 4), Advance EC2 instance (c5d.xlarge), Pricing strategy (On-Demand Utilization: 100 %Utilized/Month), DT Inbound: Not selected (0 TB per month), DT Outbound: Not selected (0 TB per month), DT Intra-Region: (0 TB per month)</w:t>
      </w:r>
    </w:p>
    <w:p w:rsidR="00000000" w:rsidDel="00000000" w:rsidP="00000000" w:rsidRDefault="00000000" w:rsidRPr="00000000" w14:paraId="00000023">
      <w:pPr>
        <w:numPr>
          <w:ilvl w:val="0"/>
          <w:numId w:val="1"/>
        </w:numPr>
        <w:spacing w:after="0" w:afterAutospacing="0" w:before="0" w:beforeAutospacing="0"/>
        <w:ind w:left="720" w:hanging="360"/>
        <w:rPr>
          <w:rFonts w:ascii="Roboto" w:cs="Roboto" w:eastAsia="Roboto" w:hAnsi="Roboto"/>
          <w:color w:val="1f1f1f"/>
          <w:sz w:val="18"/>
          <w:szCs w:val="18"/>
          <w:highlight w:val="white"/>
          <w:u w:val="none"/>
        </w:rPr>
      </w:pPr>
      <w:r w:rsidDel="00000000" w:rsidR="00000000" w:rsidRPr="00000000">
        <w:rPr>
          <w:rFonts w:ascii="Roboto" w:cs="Roboto" w:eastAsia="Roboto" w:hAnsi="Roboto"/>
          <w:color w:val="1f1f1f"/>
          <w:sz w:val="18"/>
          <w:szCs w:val="18"/>
          <w:highlight w:val="white"/>
          <w:rtl w:val="0"/>
        </w:rPr>
        <w:t xml:space="preserve">S3 Standard storage (10 TB per month), PUT, COPY, POST, LIST requests to S3 Standard ()</w:t>
      </w:r>
    </w:p>
    <w:p w:rsidR="00000000" w:rsidDel="00000000" w:rsidP="00000000" w:rsidRDefault="00000000" w:rsidRPr="00000000" w14:paraId="00000024">
      <w:pPr>
        <w:numPr>
          <w:ilvl w:val="0"/>
          <w:numId w:val="1"/>
        </w:numPr>
        <w:spacing w:after="0" w:afterAutospacing="0" w:before="0" w:beforeAutospacing="0"/>
        <w:ind w:left="720" w:hanging="360"/>
        <w:rPr>
          <w:rFonts w:ascii="Roboto" w:cs="Roboto" w:eastAsia="Roboto" w:hAnsi="Roboto"/>
          <w:color w:val="1f1f1f"/>
          <w:sz w:val="18"/>
          <w:szCs w:val="18"/>
          <w:highlight w:val="white"/>
          <w:u w:val="none"/>
        </w:rPr>
      </w:pPr>
      <w:r w:rsidDel="00000000" w:rsidR="00000000" w:rsidRPr="00000000">
        <w:rPr>
          <w:rFonts w:ascii="Roboto" w:cs="Roboto" w:eastAsia="Roboto" w:hAnsi="Roboto"/>
          <w:color w:val="1f1f1f"/>
          <w:sz w:val="18"/>
          <w:szCs w:val="18"/>
          <w:highlight w:val="white"/>
          <w:rtl w:val="0"/>
        </w:rPr>
        <w:t xml:space="preserve">S3 Glacier Deep Archive Average Object Size (16 MB), S3 Glacier Deep Archive storage (10 TB per month)</w:t>
      </w:r>
    </w:p>
    <w:p w:rsidR="00000000" w:rsidDel="00000000" w:rsidP="00000000" w:rsidRDefault="00000000" w:rsidRPr="00000000" w14:paraId="00000025">
      <w:pPr>
        <w:numPr>
          <w:ilvl w:val="0"/>
          <w:numId w:val="1"/>
        </w:numPr>
        <w:spacing w:after="0" w:afterAutospacing="0" w:before="0" w:beforeAutospacing="0"/>
        <w:ind w:left="720" w:hanging="36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Storage amount (100 GB), Nodes (2), Instance type (db.m5d.xlarge), Utilization (On-Demand only) (100 %Utilized/Month), Deployment option (Multi-AZ), License (License included), Database edition (Enterprise), Pricing strategy (OnDemand), Storage for each RDS instance (General Purpose SSD (gp3)), General Purpose SSD (gp3) - IOPS (3000), General Purpose SSD (gp3) - Throughput (125 MiBps)</w:t>
      </w:r>
    </w:p>
    <w:p w:rsidR="00000000" w:rsidDel="00000000" w:rsidP="00000000" w:rsidRDefault="00000000" w:rsidRPr="00000000" w14:paraId="00000026">
      <w:pPr>
        <w:numPr>
          <w:ilvl w:val="0"/>
          <w:numId w:val="1"/>
        </w:numPr>
        <w:spacing w:after="0" w:afterAutospacing="0" w:before="0" w:beforeAutospacing="0"/>
        <w:ind w:left="720" w:hanging="360"/>
        <w:rPr>
          <w:rFonts w:ascii="Roboto" w:cs="Roboto" w:eastAsia="Roboto" w:hAnsi="Roboto"/>
          <w:color w:val="1f1f1f"/>
          <w:sz w:val="18"/>
          <w:szCs w:val="18"/>
          <w:highlight w:val="white"/>
          <w:u w:val="none"/>
        </w:rPr>
      </w:pPr>
      <w:r w:rsidDel="00000000" w:rsidR="00000000" w:rsidRPr="00000000">
        <w:rPr>
          <w:rFonts w:ascii="Roboto" w:cs="Roboto" w:eastAsia="Roboto" w:hAnsi="Roboto"/>
          <w:color w:val="1f1f1f"/>
          <w:sz w:val="18"/>
          <w:szCs w:val="18"/>
          <w:highlight w:val="white"/>
          <w:rtl w:val="0"/>
        </w:rPr>
        <w:t xml:space="preserve">Number of Metrics (includes detailed and custom metrics) (10), Number of Dashboards (6), GetMetricData: Number of metrics requested (), Logs Delivered to S3: Data Ingested (100 GB), Logs Delivered to CloudWatch Logs: Data Ingested (10 GB)</w:t>
      </w:r>
    </w:p>
    <w:p w:rsidR="00000000" w:rsidDel="00000000" w:rsidP="00000000" w:rsidRDefault="00000000" w:rsidRPr="00000000" w14:paraId="00000027">
      <w:pPr>
        <w:numPr>
          <w:ilvl w:val="0"/>
          <w:numId w:val="1"/>
        </w:numPr>
        <w:spacing w:after="0" w:afterAutospacing="0" w:before="0" w:beforeAutospacing="0"/>
        <w:ind w:left="720" w:hanging="360"/>
        <w:rPr>
          <w:rFonts w:ascii="Roboto" w:cs="Roboto" w:eastAsia="Roboto" w:hAnsi="Roboto"/>
          <w:color w:val="1f1f1f"/>
          <w:sz w:val="18"/>
          <w:szCs w:val="18"/>
          <w:highlight w:val="white"/>
          <w:u w:val="none"/>
        </w:rPr>
      </w:pPr>
      <w:r w:rsidDel="00000000" w:rsidR="00000000" w:rsidRPr="00000000">
        <w:rPr>
          <w:rFonts w:ascii="Roboto" w:cs="Roboto" w:eastAsia="Roboto" w:hAnsi="Roboto"/>
          <w:color w:val="1f1f1f"/>
          <w:sz w:val="18"/>
          <w:szCs w:val="18"/>
          <w:highlight w:val="white"/>
          <w:rtl w:val="0"/>
        </w:rPr>
        <w:t xml:space="preserve">Management events units (millions), Write management trails (1), Read management trails (1), Data events units (millions), S3 trails (1), Lambda trails (1), Insight events units (millions), Trails with Insight events (1), Write management events ( per month)</w:t>
      </w:r>
    </w:p>
    <w:p w:rsidR="00000000" w:rsidDel="00000000" w:rsidP="00000000" w:rsidRDefault="00000000" w:rsidRPr="00000000" w14:paraId="00000028">
      <w:pPr>
        <w:numPr>
          <w:ilvl w:val="0"/>
          <w:numId w:val="1"/>
        </w:numPr>
        <w:spacing w:after="0" w:afterAutospacing="0" w:before="0" w:beforeAutospacing="0"/>
        <w:ind w:left="720" w:hanging="360"/>
        <w:rPr>
          <w:rFonts w:ascii="Roboto" w:cs="Roboto" w:eastAsia="Roboto" w:hAnsi="Roboto"/>
          <w:color w:val="1f1f1f"/>
          <w:sz w:val="18"/>
          <w:szCs w:val="18"/>
          <w:highlight w:val="white"/>
          <w:u w:val="none"/>
        </w:rPr>
      </w:pPr>
      <w:r w:rsidDel="00000000" w:rsidR="00000000" w:rsidRPr="00000000">
        <w:rPr>
          <w:rFonts w:ascii="Roboto" w:cs="Roboto" w:eastAsia="Roboto" w:hAnsi="Roboto"/>
          <w:color w:val="1f1f1f"/>
          <w:sz w:val="18"/>
          <w:szCs w:val="18"/>
          <w:highlight w:val="white"/>
          <w:rtl w:val="0"/>
        </w:rPr>
        <w:t xml:space="preserve">Number of Application Load Balancers (2)</w:t>
      </w:r>
    </w:p>
    <w:p w:rsidR="00000000" w:rsidDel="00000000" w:rsidP="00000000" w:rsidRDefault="00000000" w:rsidRPr="00000000" w14:paraId="00000029">
      <w:pPr>
        <w:numPr>
          <w:ilvl w:val="0"/>
          <w:numId w:val="1"/>
        </w:numPr>
        <w:spacing w:before="0" w:beforeAutospacing="0"/>
        <w:ind w:left="720" w:hanging="360"/>
        <w:rPr>
          <w:rFonts w:ascii="Roboto" w:cs="Roboto" w:eastAsia="Roboto" w:hAnsi="Roboto"/>
          <w:color w:val="1f1f1f"/>
          <w:sz w:val="18"/>
          <w:szCs w:val="18"/>
          <w:highlight w:val="white"/>
          <w:u w:val="none"/>
        </w:rPr>
      </w:pPr>
      <w:r w:rsidDel="00000000" w:rsidR="00000000" w:rsidRPr="00000000">
        <w:rPr>
          <w:rFonts w:ascii="Roboto" w:cs="Roboto" w:eastAsia="Roboto" w:hAnsi="Roboto"/>
          <w:color w:val="1f1f1f"/>
          <w:sz w:val="18"/>
          <w:szCs w:val="18"/>
          <w:highlight w:val="white"/>
          <w:rtl w:val="0"/>
        </w:rPr>
        <w:t xml:space="preserve">Hosted Zones (2), Number of domains stored ()</w:t>
      </w:r>
    </w:p>
    <w:p w:rsidR="00000000" w:rsidDel="00000000" w:rsidP="00000000" w:rsidRDefault="00000000" w:rsidRPr="00000000" w14:paraId="0000002A">
      <w:pPr>
        <w:ind w:left="720" w:firstLine="0"/>
        <w:rPr>
          <w:rFonts w:ascii="Roboto" w:cs="Roboto" w:eastAsia="Roboto" w:hAnsi="Roboto"/>
          <w:color w:val="1f1f1f"/>
          <w:sz w:val="18"/>
          <w:szCs w:val="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238125</wp:posOffset>
            </wp:positionV>
            <wp:extent cx="5943600" cy="1625600"/>
            <wp:effectExtent b="0" l="0" r="0" t="0"/>
            <wp:wrapNone/>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625600"/>
                    </a:xfrm>
                    <a:prstGeom prst="rect"/>
                    <a:ln/>
                  </pic:spPr>
                </pic:pic>
              </a:graphicData>
            </a:graphic>
          </wp:anchor>
        </w:drawing>
      </w:r>
    </w:p>
    <w:p w:rsidR="00000000" w:rsidDel="00000000" w:rsidP="00000000" w:rsidRDefault="00000000" w:rsidRPr="00000000" w14:paraId="0000002B">
      <w:pPr>
        <w:shd w:fill="eeeeee" w:val="clear"/>
        <w:ind w:left="0" w:firstLine="0"/>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1f1f1f"/>
          <w:sz w:val="26"/>
          <w:szCs w:val="26"/>
          <w:highlight w:val="white"/>
        </w:rPr>
      </w:pPr>
      <w:r w:rsidDel="00000000" w:rsidR="00000000" w:rsidRPr="00000000">
        <w:rPr>
          <w:rFonts w:ascii="Roboto" w:cs="Roboto" w:eastAsia="Roboto" w:hAnsi="Roboto"/>
          <w:color w:val="1f1f1f"/>
          <w:sz w:val="26"/>
          <w:szCs w:val="26"/>
          <w:highlight w:val="white"/>
          <w:rtl w:val="0"/>
        </w:rPr>
        <w:t xml:space="preserve">1st line support for 1 year (48 weeks 5 days a week)  x2 = 120,000</w:t>
      </w:r>
    </w:p>
    <w:p w:rsidR="00000000" w:rsidDel="00000000" w:rsidP="00000000" w:rsidRDefault="00000000" w:rsidRPr="00000000" w14:paraId="00000032">
      <w:pPr>
        <w:rPr>
          <w:rFonts w:ascii="Roboto" w:cs="Roboto" w:eastAsia="Roboto" w:hAnsi="Roboto"/>
          <w:color w:val="1f1f1f"/>
          <w:sz w:val="26"/>
          <w:szCs w:val="26"/>
          <w:highlight w:val="white"/>
        </w:rPr>
      </w:pPr>
      <w:r w:rsidDel="00000000" w:rsidR="00000000" w:rsidRPr="00000000">
        <w:rPr>
          <w:rFonts w:ascii="Roboto" w:cs="Roboto" w:eastAsia="Roboto" w:hAnsi="Roboto"/>
          <w:color w:val="1f1f1f"/>
          <w:sz w:val="26"/>
          <w:szCs w:val="26"/>
          <w:highlight w:val="white"/>
          <w:rtl w:val="0"/>
        </w:rPr>
        <w:t xml:space="preserve">3rd line support for 1 year (48 weeks 5 days a week) = 84,000</w:t>
      </w:r>
    </w:p>
    <w:p w:rsidR="00000000" w:rsidDel="00000000" w:rsidP="00000000" w:rsidRDefault="00000000" w:rsidRPr="00000000" w14:paraId="00000033">
      <w:pPr>
        <w:rPr>
          <w:rFonts w:ascii="Roboto" w:cs="Roboto" w:eastAsia="Roboto" w:hAnsi="Roboto"/>
          <w:color w:val="1f1f1f"/>
          <w:sz w:val="26"/>
          <w:szCs w:val="26"/>
          <w:highlight w:val="white"/>
        </w:rPr>
      </w:pPr>
      <w:r w:rsidDel="00000000" w:rsidR="00000000" w:rsidRPr="00000000">
        <w:rPr>
          <w:rFonts w:ascii="Roboto" w:cs="Roboto" w:eastAsia="Roboto" w:hAnsi="Roboto"/>
          <w:color w:val="1f1f1f"/>
          <w:sz w:val="26"/>
          <w:szCs w:val="26"/>
          <w:highlight w:val="white"/>
          <w:rtl w:val="0"/>
        </w:rPr>
        <w:t xml:space="preserve">Solutions architect only needed for 3 months (12 weeks 5 days a week) = 60,000</w:t>
      </w:r>
    </w:p>
    <w:p w:rsidR="00000000" w:rsidDel="00000000" w:rsidP="00000000" w:rsidRDefault="00000000" w:rsidRPr="00000000" w14:paraId="00000034">
      <w:pPr>
        <w:rPr>
          <w:rFonts w:ascii="Roboto" w:cs="Roboto" w:eastAsia="Roboto" w:hAnsi="Roboto"/>
          <w:color w:val="1f1f1f"/>
          <w:sz w:val="26"/>
          <w:szCs w:val="26"/>
          <w:highlight w:val="white"/>
        </w:rPr>
      </w:pPr>
      <w:r w:rsidDel="00000000" w:rsidR="00000000" w:rsidRPr="00000000">
        <w:rPr>
          <w:rFonts w:ascii="Roboto" w:cs="Roboto" w:eastAsia="Roboto" w:hAnsi="Roboto"/>
          <w:color w:val="1f1f1f"/>
          <w:sz w:val="26"/>
          <w:szCs w:val="26"/>
          <w:highlight w:val="white"/>
          <w:rtl w:val="0"/>
        </w:rPr>
        <w:t xml:space="preserve">Server migration engineer for 2 months = 26,000</w:t>
      </w:r>
    </w:p>
    <w:p w:rsidR="00000000" w:rsidDel="00000000" w:rsidP="00000000" w:rsidRDefault="00000000" w:rsidRPr="00000000" w14:paraId="00000035">
      <w:pPr>
        <w:rPr>
          <w:rFonts w:ascii="Roboto" w:cs="Roboto" w:eastAsia="Roboto" w:hAnsi="Roboto"/>
          <w:color w:val="1f1f1f"/>
          <w:sz w:val="26"/>
          <w:szCs w:val="26"/>
          <w:highlight w:val="white"/>
        </w:rPr>
      </w:pPr>
      <w:r w:rsidDel="00000000" w:rsidR="00000000" w:rsidRPr="00000000">
        <w:rPr>
          <w:rFonts w:ascii="Roboto" w:cs="Roboto" w:eastAsia="Roboto" w:hAnsi="Roboto"/>
          <w:color w:val="1f1f1f"/>
          <w:sz w:val="26"/>
          <w:szCs w:val="26"/>
          <w:highlight w:val="white"/>
          <w:rtl w:val="0"/>
        </w:rPr>
        <w:t xml:space="preserve">database migration engineer for 2 month = 30,000</w:t>
      </w:r>
    </w:p>
    <w:p w:rsidR="00000000" w:rsidDel="00000000" w:rsidP="00000000" w:rsidRDefault="00000000" w:rsidRPr="00000000" w14:paraId="00000036">
      <w:pPr>
        <w:rPr>
          <w:rFonts w:ascii="Roboto" w:cs="Roboto" w:eastAsia="Roboto" w:hAnsi="Roboto"/>
          <w:b w:val="1"/>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Total cost of support (annually) = 320,000</w:t>
      </w:r>
    </w:p>
    <w:p w:rsidR="00000000" w:rsidDel="00000000" w:rsidP="00000000" w:rsidRDefault="00000000" w:rsidRPr="00000000" w14:paraId="00000037">
      <w:pPr>
        <w:rPr>
          <w:rFonts w:ascii="Roboto" w:cs="Roboto" w:eastAsia="Roboto" w:hAnsi="Roboto"/>
          <w:b w:val="1"/>
          <w:color w:val="000000"/>
          <w:sz w:val="26"/>
          <w:szCs w:val="26"/>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b w:val="1"/>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Total cost of support + AWS cost = 423,971.84 per year</w:t>
      </w:r>
    </w:p>
    <w:p w:rsidR="00000000" w:rsidDel="00000000" w:rsidP="00000000" w:rsidRDefault="00000000" w:rsidRPr="00000000" w14:paraId="00000039">
      <w:pPr>
        <w:rPr>
          <w:rFonts w:ascii="Roboto" w:cs="Roboto" w:eastAsia="Roboto" w:hAnsi="Roboto"/>
          <w:color w:val="000000"/>
          <w:sz w:val="16"/>
          <w:szCs w:val="16"/>
          <w:highlight w:val="white"/>
        </w:rPr>
      </w:pPr>
      <w:r w:rsidDel="00000000" w:rsidR="00000000" w:rsidRPr="00000000">
        <w:rPr>
          <w:rFonts w:ascii="Roboto" w:cs="Roboto" w:eastAsia="Roboto" w:hAnsi="Roboto"/>
          <w:color w:val="000000"/>
          <w:sz w:val="16"/>
          <w:szCs w:val="16"/>
          <w:highlight w:val="white"/>
          <w:rtl w:val="0"/>
        </w:rPr>
        <w:t xml:space="preserve">Disclaimer - I am not sure how accurate any of these costs would be in reality.</w:t>
      </w:r>
    </w:p>
    <w:p w:rsidR="00000000" w:rsidDel="00000000" w:rsidP="00000000" w:rsidRDefault="00000000" w:rsidRPr="00000000" w14:paraId="0000003A">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1f1f1f"/>
          <w:sz w:val="18"/>
          <w:szCs w:val="18"/>
          <w:highlight w:val="white"/>
        </w:rPr>
      </w:pPr>
      <w:r w:rsidDel="00000000" w:rsidR="00000000" w:rsidRPr="00000000">
        <w:rPr>
          <w:rtl w:val="0"/>
        </w:rPr>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7"/>
    <w:bookmarkEnd w:id="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