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EF2" w:rsidRPr="00AD078C" w:rsidRDefault="00AD078C" w:rsidP="00E83128">
      <w:pPr>
        <w:spacing w:after="0"/>
        <w:jc w:val="center"/>
        <w:rPr>
          <w:b/>
          <w:color w:val="548DD4" w:themeColor="text2" w:themeTint="99"/>
          <w:sz w:val="44"/>
        </w:rPr>
      </w:pPr>
      <w:r w:rsidRPr="00AD078C">
        <w:rPr>
          <w:b/>
          <w:color w:val="548DD4" w:themeColor="text2" w:themeTint="99"/>
          <w:sz w:val="44"/>
        </w:rPr>
        <w:t xml:space="preserve">The </w:t>
      </w:r>
      <w:r w:rsidR="00501D10" w:rsidRPr="00AD078C">
        <w:rPr>
          <w:b/>
          <w:color w:val="548DD4" w:themeColor="text2" w:themeTint="99"/>
          <w:sz w:val="44"/>
        </w:rPr>
        <w:t>S</w:t>
      </w:r>
      <w:r w:rsidRPr="00AD078C">
        <w:rPr>
          <w:b/>
          <w:color w:val="548DD4" w:themeColor="text2" w:themeTint="99"/>
          <w:sz w:val="44"/>
        </w:rPr>
        <w:t xml:space="preserve">ocial </w:t>
      </w:r>
      <w:r w:rsidR="00501D10" w:rsidRPr="00AD078C">
        <w:rPr>
          <w:b/>
          <w:color w:val="548DD4" w:themeColor="text2" w:themeTint="99"/>
          <w:sz w:val="44"/>
        </w:rPr>
        <w:t>I</w:t>
      </w:r>
      <w:r w:rsidRPr="00AD078C">
        <w:rPr>
          <w:b/>
          <w:color w:val="548DD4" w:themeColor="text2" w:themeTint="99"/>
          <w:sz w:val="44"/>
        </w:rPr>
        <w:t xml:space="preserve">nstitutions and </w:t>
      </w:r>
      <w:r w:rsidR="00501D10" w:rsidRPr="00AD078C">
        <w:rPr>
          <w:b/>
          <w:color w:val="548DD4" w:themeColor="text2" w:themeTint="99"/>
          <w:sz w:val="44"/>
        </w:rPr>
        <w:t>G</w:t>
      </w:r>
      <w:r w:rsidRPr="00AD078C">
        <w:rPr>
          <w:b/>
          <w:color w:val="548DD4" w:themeColor="text2" w:themeTint="99"/>
          <w:sz w:val="44"/>
        </w:rPr>
        <w:t xml:space="preserve">ender </w:t>
      </w:r>
      <w:r w:rsidR="00501D10" w:rsidRPr="00AD078C">
        <w:rPr>
          <w:b/>
          <w:color w:val="548DD4" w:themeColor="text2" w:themeTint="99"/>
          <w:sz w:val="44"/>
        </w:rPr>
        <w:t>I</w:t>
      </w:r>
      <w:r w:rsidRPr="00AD078C">
        <w:rPr>
          <w:b/>
          <w:color w:val="548DD4" w:themeColor="text2" w:themeTint="99"/>
          <w:sz w:val="44"/>
        </w:rPr>
        <w:t>ndex</w:t>
      </w:r>
      <w:r w:rsidR="00A60E8C">
        <w:rPr>
          <w:b/>
          <w:color w:val="548DD4" w:themeColor="text2" w:themeTint="99"/>
          <w:sz w:val="44"/>
        </w:rPr>
        <w:t xml:space="preserve"> </w:t>
      </w:r>
      <w:r w:rsidRPr="00AD078C">
        <w:rPr>
          <w:b/>
          <w:color w:val="548DD4" w:themeColor="text2" w:themeTint="99"/>
          <w:sz w:val="44"/>
        </w:rPr>
        <w:t>(SIGI)</w:t>
      </w:r>
      <w:r w:rsidR="00501D10" w:rsidRPr="00AD078C">
        <w:rPr>
          <w:b/>
          <w:color w:val="548DD4" w:themeColor="text2" w:themeTint="99"/>
          <w:sz w:val="44"/>
        </w:rPr>
        <w:t xml:space="preserve"> </w:t>
      </w:r>
    </w:p>
    <w:p w:rsidR="00720AA7" w:rsidRDefault="00720AA7" w:rsidP="00720AA7">
      <w:pPr>
        <w:spacing w:after="0"/>
      </w:pPr>
    </w:p>
    <w:p w:rsidR="002D34FA" w:rsidRPr="002D34FA" w:rsidRDefault="009D2D20" w:rsidP="002D34FA">
      <w:pPr>
        <w:jc w:val="center"/>
        <w:rPr>
          <w:color w:val="548DD4" w:themeColor="text2" w:themeTint="99"/>
          <w:sz w:val="24"/>
        </w:rPr>
      </w:pPr>
      <w:r w:rsidRPr="002D34FA">
        <w:rPr>
          <w:b/>
          <w:color w:val="548DD4" w:themeColor="text2" w:themeTint="99"/>
          <w:sz w:val="24"/>
        </w:rPr>
        <w:t>What is the SIGI?</w:t>
      </w:r>
      <w:r w:rsidR="00F83434" w:rsidRPr="00F83434">
        <w:rPr>
          <w:noProof/>
          <w:lang w:eastAsia="en-GB"/>
        </w:rPr>
        <w:t xml:space="preserve"> </w:t>
      </w:r>
    </w:p>
    <w:p w:rsidR="0055641C" w:rsidRPr="005E0690" w:rsidRDefault="009C5515" w:rsidP="005A2A95">
      <w:pPr>
        <w:rPr>
          <w:sz w:val="24"/>
          <w:szCs w:val="24"/>
        </w:rPr>
      </w:pPr>
      <w:r>
        <w:rPr>
          <w:b/>
          <w:noProof/>
          <w:color w:val="548DD4" w:themeColor="text2" w:themeTint="99"/>
          <w:sz w:val="24"/>
          <w:lang w:eastAsia="en-GB"/>
        </w:rPr>
        <w:pict>
          <v:roundrect id="_x0000_s1028" style="position:absolute;left:0;text-align:left;margin-left:-15.2pt;margin-top:115.15pt;width:340.55pt;height:180.35pt;z-index:251658240" arcsize="10923f" fillcolor="white [3212]" strokecolor="#d99594 [1941]" strokeweight="3pt">
            <v:shadow type="perspective" color="#205867 [1608]" opacity=".5" offset="1pt" offset2="-1pt"/>
            <v:textbox style="mso-next-textbox:#_x0000_s1028">
              <w:txbxContent>
                <w:p w:rsidR="00565060" w:rsidRDefault="00565060" w:rsidP="00B9214A">
                  <w:pPr>
                    <w:jc w:val="center"/>
                    <w:rPr>
                      <w:i/>
                      <w:sz w:val="24"/>
                    </w:rPr>
                  </w:pPr>
                  <w:r>
                    <w:rPr>
                      <w:b/>
                      <w:color w:val="D99594" w:themeColor="accent2" w:themeTint="99"/>
                      <w:sz w:val="24"/>
                    </w:rPr>
                    <w:t xml:space="preserve">The </w:t>
                  </w:r>
                  <w:r w:rsidR="00DA4C74">
                    <w:rPr>
                      <w:b/>
                      <w:color w:val="D99594" w:themeColor="accent2" w:themeTint="99"/>
                      <w:sz w:val="24"/>
                    </w:rPr>
                    <w:t>SDG</w:t>
                  </w:r>
                  <w:r>
                    <w:rPr>
                      <w:b/>
                      <w:color w:val="D99594" w:themeColor="accent2" w:themeTint="99"/>
                      <w:sz w:val="24"/>
                    </w:rPr>
                    <w:t xml:space="preserve"> Goal 5.1.1</w:t>
                  </w:r>
                  <w:r w:rsidRPr="00B9214A">
                    <w:rPr>
                      <w:i/>
                      <w:sz w:val="24"/>
                    </w:rPr>
                    <w:t xml:space="preserve"> </w:t>
                  </w:r>
                </w:p>
                <w:p w:rsidR="00BF68AB" w:rsidRDefault="00BF68AB" w:rsidP="00B9214A">
                  <w:r w:rsidRPr="00B9214A">
                    <w:t>Through a technical cooperation wi</w:t>
                  </w:r>
                  <w:r>
                    <w:t>t</w:t>
                  </w:r>
                  <w:r w:rsidRPr="00B9214A">
                    <w:t>h UN</w:t>
                  </w:r>
                  <w:r>
                    <w:t>W</w:t>
                  </w:r>
                  <w:r w:rsidRPr="00B9214A">
                    <w:t xml:space="preserve">OMEN </w:t>
                  </w:r>
                  <w:r>
                    <w:t>and the</w:t>
                  </w:r>
                  <w:r w:rsidRPr="00B9214A">
                    <w:t xml:space="preserve"> World Bank</w:t>
                  </w:r>
                  <w:r>
                    <w:t>,</w:t>
                  </w:r>
                  <w:r w:rsidRPr="00B9214A">
                    <w:t xml:space="preserve"> t</w:t>
                  </w:r>
                  <w:r w:rsidR="00DA4C74" w:rsidRPr="00B9214A">
                    <w:t>he OECD’s</w:t>
                  </w:r>
                  <w:r w:rsidR="00DA4C74" w:rsidRPr="00B9214A">
                    <w:rPr>
                      <w:b/>
                      <w:color w:val="548DD4" w:themeColor="text2" w:themeTint="99"/>
                    </w:rPr>
                    <w:t xml:space="preserve"> Social Institutions and Gender Index (SIGI)</w:t>
                  </w:r>
                  <w:r w:rsidR="00DA4C74" w:rsidRPr="00B9214A">
                    <w:t xml:space="preserve"> is an </w:t>
                  </w:r>
                  <w:r w:rsidR="00DA4C74" w:rsidRPr="00B9214A">
                    <w:rPr>
                      <w:b/>
                      <w:color w:val="548DD4" w:themeColor="text2" w:themeTint="99"/>
                      <w:u w:val="single"/>
                    </w:rPr>
                    <w:t>official data source</w:t>
                  </w:r>
                  <w:r w:rsidR="00DA4C74" w:rsidRPr="00B9214A">
                    <w:t xml:space="preserve"> </w:t>
                  </w:r>
                  <w:r>
                    <w:t xml:space="preserve">tracking progress on </w:t>
                  </w:r>
                  <w:r w:rsidRPr="00B9214A">
                    <w:rPr>
                      <w:b/>
                    </w:rPr>
                    <w:t>SDG 5.1.1</w:t>
                  </w:r>
                  <w:r>
                    <w:t>.</w:t>
                  </w:r>
                </w:p>
                <w:p w:rsidR="00BF68AB" w:rsidRDefault="00BF68AB" w:rsidP="00B9214A">
                  <w:pPr>
                    <w:jc w:val="center"/>
                  </w:pPr>
                  <w:r w:rsidRPr="00C1650C">
                    <w:t>‘</w:t>
                  </w:r>
                  <w:r w:rsidRPr="00B9214A">
                    <w:rPr>
                      <w:b/>
                      <w:i/>
                    </w:rPr>
                    <w:t>Whether or not legal frameworks are in place to promote, enforce and monitor equality and non-discrimination on the basis of sex’.</w:t>
                  </w:r>
                </w:p>
                <w:p w:rsidR="00DA4C74" w:rsidRPr="00B9214A" w:rsidRDefault="00BF68AB" w:rsidP="00B9214A">
                  <w:r w:rsidRPr="00B9214A">
                    <w:t>SIGI provide</w:t>
                  </w:r>
                  <w:r>
                    <w:t>s</w:t>
                  </w:r>
                  <w:r w:rsidRPr="00B9214A">
                    <w:t xml:space="preserve"> </w:t>
                  </w:r>
                  <w:r>
                    <w:t>data</w:t>
                  </w:r>
                  <w:r w:rsidRPr="00B9214A">
                    <w:t xml:space="preserve"> on </w:t>
                  </w:r>
                  <w:r w:rsidR="00B9214A">
                    <w:t xml:space="preserve">legal frameworks within the </w:t>
                  </w:r>
                  <w:r w:rsidRPr="00B9214A">
                    <w:t xml:space="preserve">three </w:t>
                  </w:r>
                  <w:r w:rsidR="00B9214A">
                    <w:t>indicators</w:t>
                  </w:r>
                  <w:r w:rsidRPr="00B9214A">
                    <w:t xml:space="preserve"> </w:t>
                  </w:r>
                  <w:r w:rsidR="00B9214A">
                    <w:t xml:space="preserve">of </w:t>
                  </w:r>
                  <w:r w:rsidRPr="00B9214A">
                    <w:t>Discrimination in the Family, Civil Liberties and Physical Integrity.</w:t>
                  </w:r>
                </w:p>
                <w:p w:rsidR="005E0690" w:rsidRPr="00B9214A" w:rsidRDefault="005E0690" w:rsidP="00B9214A">
                  <w:pPr>
                    <w:jc w:val="center"/>
                    <w:rPr>
                      <w:i/>
                    </w:rPr>
                  </w:pPr>
                </w:p>
              </w:txbxContent>
            </v:textbox>
            <w10:wrap type="square"/>
          </v:roundrect>
        </w:pict>
      </w:r>
      <w:r w:rsidR="00C74F45" w:rsidRPr="005E0690">
        <w:rPr>
          <w:sz w:val="24"/>
          <w:szCs w:val="24"/>
        </w:rPr>
        <w:t xml:space="preserve">The OECD Development Centre’s Social Institutions and Gender Index (SIGI) is a </w:t>
      </w:r>
      <w:r w:rsidR="00AD078C" w:rsidRPr="005E0690">
        <w:rPr>
          <w:sz w:val="24"/>
          <w:szCs w:val="24"/>
        </w:rPr>
        <w:t xml:space="preserve">unique cross-country </w:t>
      </w:r>
      <w:r w:rsidR="00C74F45" w:rsidRPr="005E0690">
        <w:rPr>
          <w:sz w:val="24"/>
          <w:szCs w:val="24"/>
        </w:rPr>
        <w:t xml:space="preserve">measure of </w:t>
      </w:r>
      <w:r w:rsidR="0055641C" w:rsidRPr="005E0690">
        <w:rPr>
          <w:sz w:val="24"/>
          <w:szCs w:val="24"/>
        </w:rPr>
        <w:t xml:space="preserve">gender-based </w:t>
      </w:r>
      <w:r w:rsidR="00C74F45" w:rsidRPr="005E0690">
        <w:rPr>
          <w:sz w:val="24"/>
          <w:szCs w:val="24"/>
        </w:rPr>
        <w:t xml:space="preserve">discrimination in social institutions. </w:t>
      </w:r>
      <w:r w:rsidR="0055641C" w:rsidRPr="005E0690">
        <w:rPr>
          <w:sz w:val="24"/>
          <w:szCs w:val="24"/>
        </w:rPr>
        <w:t xml:space="preserve">The SIGI is comprised of three main components: </w:t>
      </w:r>
      <w:proofErr w:type="spellStart"/>
      <w:r w:rsidR="0055641C" w:rsidRPr="005E0690">
        <w:rPr>
          <w:sz w:val="24"/>
          <w:szCs w:val="24"/>
        </w:rPr>
        <w:t>i</w:t>
      </w:r>
      <w:proofErr w:type="spellEnd"/>
      <w:r w:rsidR="0055641C" w:rsidRPr="005E0690">
        <w:rPr>
          <w:sz w:val="24"/>
          <w:szCs w:val="24"/>
        </w:rPr>
        <w:t>) country profiles containing comprehensive qualitative information on legal, cultural, and traditional laws and practices that discriminate against women and girls; ii) the Gender, Institutions and Development Database comprising indicators on gender discrimination in social institutions; and iii) the Index classifying countries according to their level of discrimination in social institutions.</w:t>
      </w:r>
    </w:p>
    <w:p w:rsidR="0020332B" w:rsidRDefault="009C5515" w:rsidP="002D34FA">
      <w:pPr>
        <w:jc w:val="center"/>
        <w:rPr>
          <w:b/>
          <w:color w:val="548DD4" w:themeColor="text2" w:themeTint="99"/>
          <w:sz w:val="24"/>
        </w:rPr>
      </w:pPr>
      <w:r>
        <w:pict>
          <v:roundrect id="_x0000_s1026" style="position:absolute;left:0;text-align:left;margin-left:-4.7pt;margin-top:4.1pt;width:190.85pt;height:180.75pt;z-index:251659264" arcsize="10923f" fillcolor="white [3212]" strokecolor="#d99594 [1941]" strokeweight="2.5pt">
            <v:shadow color="#868686"/>
            <v:textbox style="mso-next-textbox:#_x0000_s1026">
              <w:txbxContent>
                <w:p w:rsidR="002D34FA" w:rsidRPr="002755BC" w:rsidRDefault="00F83434" w:rsidP="00F83434">
                  <w:pPr>
                    <w:jc w:val="center"/>
                    <w:rPr>
                      <w:b/>
                      <w:color w:val="D99594" w:themeColor="accent2" w:themeTint="99"/>
                    </w:rPr>
                  </w:pPr>
                  <w:r w:rsidRPr="002755BC">
                    <w:rPr>
                      <w:b/>
                      <w:color w:val="D99594" w:themeColor="accent2" w:themeTint="99"/>
                      <w:sz w:val="24"/>
                    </w:rPr>
                    <w:t>What are discriminatory social institutions?</w:t>
                  </w:r>
                </w:p>
                <w:p w:rsidR="002D34FA" w:rsidRPr="0055641C" w:rsidRDefault="002D34FA" w:rsidP="00F83434">
                  <w:pPr>
                    <w:jc w:val="center"/>
                    <w:rPr>
                      <w:b/>
                    </w:rPr>
                  </w:pPr>
                  <w:r w:rsidRPr="0055641C">
                    <w:t>Formal and informal laws, social norms and practices that restrict or exclude women and girls, and consequently curtail their access to rights, justice</w:t>
                  </w:r>
                  <w:r w:rsidR="00F83434" w:rsidRPr="0055641C">
                    <w:t xml:space="preserve">, </w:t>
                  </w:r>
                  <w:r w:rsidRPr="0055641C">
                    <w:t>empowerment opportunities</w:t>
                  </w:r>
                  <w:r w:rsidR="00F83434" w:rsidRPr="0055641C">
                    <w:t xml:space="preserve"> and resources</w:t>
                  </w:r>
                  <w:r w:rsidR="00F754CA">
                    <w:t>.</w:t>
                  </w:r>
                </w:p>
              </w:txbxContent>
            </v:textbox>
            <w10:wrap type="square"/>
          </v:roundrect>
        </w:pict>
      </w:r>
    </w:p>
    <w:p w:rsidR="002D34FA" w:rsidRPr="002D34FA" w:rsidRDefault="00E61FF9" w:rsidP="002D34FA">
      <w:pPr>
        <w:jc w:val="center"/>
        <w:rPr>
          <w:color w:val="548DD4" w:themeColor="text2" w:themeTint="99"/>
          <w:sz w:val="24"/>
        </w:rPr>
      </w:pPr>
      <w:r w:rsidRPr="002D34FA">
        <w:rPr>
          <w:b/>
          <w:color w:val="548DD4" w:themeColor="text2" w:themeTint="99"/>
          <w:sz w:val="24"/>
        </w:rPr>
        <w:t>What is the SIGI’s added value compared to existing gender-specific measures?</w:t>
      </w:r>
    </w:p>
    <w:p w:rsidR="000F206F" w:rsidRDefault="0055641C" w:rsidP="00B9214A">
      <w:pPr>
        <w:rPr>
          <w:b/>
          <w:color w:val="548DD4" w:themeColor="text2" w:themeTint="99"/>
          <w:sz w:val="24"/>
        </w:rPr>
      </w:pPr>
      <w:r>
        <w:rPr>
          <w:sz w:val="24"/>
        </w:rPr>
        <w:t>E</w:t>
      </w:r>
      <w:r w:rsidR="00E61FF9" w:rsidRPr="002D34FA">
        <w:rPr>
          <w:sz w:val="24"/>
        </w:rPr>
        <w:t>xisting gender indic</w:t>
      </w:r>
      <w:r>
        <w:rPr>
          <w:sz w:val="24"/>
        </w:rPr>
        <w:t>ators</w:t>
      </w:r>
      <w:r w:rsidR="00A83591">
        <w:rPr>
          <w:sz w:val="24"/>
        </w:rPr>
        <w:t xml:space="preserve"> </w:t>
      </w:r>
      <w:r>
        <w:rPr>
          <w:sz w:val="24"/>
        </w:rPr>
        <w:t xml:space="preserve">commonly </w:t>
      </w:r>
      <w:r w:rsidR="00E61FF9" w:rsidRPr="002D34FA">
        <w:rPr>
          <w:sz w:val="24"/>
        </w:rPr>
        <w:t xml:space="preserve">focus on gender inequalities in </w:t>
      </w:r>
      <w:r w:rsidR="00486BCD">
        <w:rPr>
          <w:sz w:val="24"/>
        </w:rPr>
        <w:t>key economic and social indicators, like</w:t>
      </w:r>
      <w:r w:rsidR="00E61FF9" w:rsidRPr="002D34FA">
        <w:rPr>
          <w:sz w:val="24"/>
        </w:rPr>
        <w:t xml:space="preserve"> education</w:t>
      </w:r>
      <w:r w:rsidR="00486BCD">
        <w:rPr>
          <w:sz w:val="24"/>
        </w:rPr>
        <w:t xml:space="preserve"> or</w:t>
      </w:r>
      <w:r w:rsidR="00E61FF9" w:rsidRPr="002D34FA">
        <w:rPr>
          <w:sz w:val="24"/>
        </w:rPr>
        <w:t xml:space="preserve"> employment. </w:t>
      </w:r>
      <w:r w:rsidR="00486BCD">
        <w:rPr>
          <w:sz w:val="24"/>
        </w:rPr>
        <w:t xml:space="preserve">To complement these existing measures, </w:t>
      </w:r>
      <w:r w:rsidR="00E61FF9" w:rsidRPr="002D34FA">
        <w:rPr>
          <w:sz w:val="24"/>
        </w:rPr>
        <w:t>the SIGI focus</w:t>
      </w:r>
      <w:r w:rsidR="00486BCD">
        <w:rPr>
          <w:sz w:val="24"/>
        </w:rPr>
        <w:t>es</w:t>
      </w:r>
      <w:r w:rsidR="00E61FF9" w:rsidRPr="002D34FA">
        <w:rPr>
          <w:sz w:val="24"/>
        </w:rPr>
        <w:t xml:space="preserve"> on the underlying factors driv</w:t>
      </w:r>
      <w:r w:rsidR="00486BCD">
        <w:rPr>
          <w:sz w:val="24"/>
        </w:rPr>
        <w:t>ing</w:t>
      </w:r>
      <w:r w:rsidR="00E61FF9" w:rsidRPr="002D34FA">
        <w:rPr>
          <w:sz w:val="24"/>
        </w:rPr>
        <w:t xml:space="preserve"> gender inequalit</w:t>
      </w:r>
      <w:r w:rsidR="00486BCD">
        <w:rPr>
          <w:sz w:val="24"/>
        </w:rPr>
        <w:t>ies</w:t>
      </w:r>
      <w:r w:rsidR="00E61FF9" w:rsidRPr="002D34FA">
        <w:rPr>
          <w:sz w:val="24"/>
        </w:rPr>
        <w:t xml:space="preserve">: discriminatory social institutions. </w:t>
      </w:r>
      <w:r w:rsidR="00486BCD">
        <w:rPr>
          <w:sz w:val="24"/>
        </w:rPr>
        <w:t>T</w:t>
      </w:r>
      <w:r w:rsidR="00E61FF9" w:rsidRPr="002D34FA">
        <w:rPr>
          <w:sz w:val="24"/>
        </w:rPr>
        <w:t>he SIGI</w:t>
      </w:r>
      <w:r w:rsidR="00486BCD">
        <w:rPr>
          <w:sz w:val="24"/>
        </w:rPr>
        <w:t>’s indicators address</w:t>
      </w:r>
      <w:r w:rsidR="00E61FF9" w:rsidRPr="002D34FA">
        <w:rPr>
          <w:sz w:val="24"/>
        </w:rPr>
        <w:t xml:space="preserve"> both </w:t>
      </w:r>
      <w:r w:rsidR="00E61FF9" w:rsidRPr="00A83591">
        <w:rPr>
          <w:i/>
          <w:sz w:val="24"/>
        </w:rPr>
        <w:t>de jure</w:t>
      </w:r>
      <w:r w:rsidR="00E61FF9" w:rsidRPr="002D34FA">
        <w:rPr>
          <w:sz w:val="24"/>
        </w:rPr>
        <w:t xml:space="preserve"> and </w:t>
      </w:r>
      <w:r w:rsidR="00E61FF9" w:rsidRPr="00A83591">
        <w:rPr>
          <w:i/>
          <w:sz w:val="24"/>
        </w:rPr>
        <w:t>de facto</w:t>
      </w:r>
      <w:r w:rsidR="00E61FF9" w:rsidRPr="002D34FA">
        <w:rPr>
          <w:sz w:val="24"/>
        </w:rPr>
        <w:t xml:space="preserve"> </w:t>
      </w:r>
      <w:r w:rsidR="00486BCD">
        <w:rPr>
          <w:sz w:val="24"/>
        </w:rPr>
        <w:t xml:space="preserve">situations of </w:t>
      </w:r>
      <w:r w:rsidR="00E61FF9" w:rsidRPr="002D34FA">
        <w:rPr>
          <w:sz w:val="24"/>
        </w:rPr>
        <w:t>discrimination against women. Indeed, in some countries</w:t>
      </w:r>
      <w:r w:rsidR="00486BCD">
        <w:rPr>
          <w:sz w:val="24"/>
        </w:rPr>
        <w:t>,</w:t>
      </w:r>
      <w:r w:rsidR="00E61FF9" w:rsidRPr="002D34FA">
        <w:rPr>
          <w:sz w:val="24"/>
        </w:rPr>
        <w:t xml:space="preserve"> while the legal framework protects women’s rights, lack of implementation and discriminatory social norms </w:t>
      </w:r>
      <w:r w:rsidR="00486BCD">
        <w:rPr>
          <w:sz w:val="24"/>
        </w:rPr>
        <w:t xml:space="preserve">can </w:t>
      </w:r>
      <w:r w:rsidR="00E61FF9" w:rsidRPr="002D34FA">
        <w:rPr>
          <w:sz w:val="24"/>
        </w:rPr>
        <w:t>lead to persistent discriminatory practices.</w:t>
      </w:r>
    </w:p>
    <w:p w:rsidR="0020332B" w:rsidRPr="002D34FA" w:rsidRDefault="000F206F" w:rsidP="000F206F">
      <w:pPr>
        <w:pStyle w:val="NoSpacing"/>
        <w:jc w:val="center"/>
        <w:rPr>
          <w:b/>
          <w:color w:val="548DD4" w:themeColor="text2" w:themeTint="99"/>
          <w:sz w:val="24"/>
        </w:rPr>
      </w:pPr>
      <w:r w:rsidRPr="002D34FA">
        <w:rPr>
          <w:b/>
          <w:color w:val="548DD4" w:themeColor="text2" w:themeTint="99"/>
          <w:sz w:val="24"/>
        </w:rPr>
        <w:t>What is the composition of the SIGI 2018?</w:t>
      </w:r>
    </w:p>
    <w:p w:rsidR="000F206F" w:rsidRPr="002755BC" w:rsidRDefault="000F206F" w:rsidP="00B9214A">
      <w:pPr>
        <w:pStyle w:val="NoSpacing"/>
        <w:jc w:val="center"/>
      </w:pPr>
    </w:p>
    <w:p w:rsidR="00565060" w:rsidRDefault="00565060" w:rsidP="000F206F">
      <w:pPr>
        <w:rPr>
          <w:sz w:val="24"/>
        </w:rPr>
      </w:pPr>
      <w:r>
        <w:rPr>
          <w:sz w:val="24"/>
        </w:rPr>
        <w:t xml:space="preserve">The SIGI was first launched in 2009 followed by a second version in 2014. </w:t>
      </w:r>
      <w:bookmarkStart w:id="0" w:name="_GoBack"/>
      <w:r>
        <w:rPr>
          <w:sz w:val="24"/>
        </w:rPr>
        <w:t>T</w:t>
      </w:r>
      <w:r w:rsidRPr="00B9214A">
        <w:rPr>
          <w:sz w:val="24"/>
        </w:rPr>
        <w:t>he next edition of the SIGI will be launched in November 2018.</w:t>
      </w:r>
      <w:r>
        <w:rPr>
          <w:sz w:val="24"/>
        </w:rPr>
        <w:t xml:space="preserve"> New additions and developments will include extension of the country coverage to over 180 countries,</w:t>
      </w:r>
      <w:bookmarkEnd w:id="0"/>
      <w:r>
        <w:rPr>
          <w:sz w:val="24"/>
        </w:rPr>
        <w:t xml:space="preserve"> </w:t>
      </w:r>
      <w:r w:rsidR="00F5371C">
        <w:rPr>
          <w:sz w:val="24"/>
        </w:rPr>
        <w:t xml:space="preserve">new indicators such as workplace discrimination and access to justice, </w:t>
      </w:r>
      <w:r>
        <w:rPr>
          <w:sz w:val="24"/>
        </w:rPr>
        <w:t xml:space="preserve">revised conceptual and methodological frameworks and update of country profiles and data </w:t>
      </w:r>
      <w:r w:rsidRPr="003271D7">
        <w:rPr>
          <w:sz w:val="24"/>
        </w:rPr>
        <w:t>in order to offer more comprehensive information to the development communit</w:t>
      </w:r>
      <w:r>
        <w:rPr>
          <w:sz w:val="24"/>
        </w:rPr>
        <w:t>y.</w:t>
      </w:r>
    </w:p>
    <w:p w:rsidR="0020332B" w:rsidRDefault="0020332B" w:rsidP="000F206F">
      <w:pPr>
        <w:rPr>
          <w:sz w:val="24"/>
          <w:lang w:val="en-US"/>
        </w:rPr>
      </w:pPr>
    </w:p>
    <w:p w:rsidR="000F206F" w:rsidRDefault="00216BC4" w:rsidP="00B9214A">
      <w:pPr>
        <w:rPr>
          <w:b/>
          <w:color w:val="548DD4" w:themeColor="text2" w:themeTint="99"/>
          <w:sz w:val="24"/>
        </w:rPr>
      </w:pPr>
      <w:r>
        <w:rPr>
          <w:noProof/>
          <w:lang w:eastAsia="en-GB"/>
        </w:rPr>
        <w:lastRenderedPageBreak/>
        <w:drawing>
          <wp:anchor distT="0" distB="0" distL="114300" distR="114300" simplePos="0" relativeHeight="251660288" behindDoc="0" locked="0" layoutInCell="1" allowOverlap="1" wp14:anchorId="216DAAA0" wp14:editId="07378B07">
            <wp:simplePos x="0" y="0"/>
            <wp:positionH relativeFrom="column">
              <wp:posOffset>778510</wp:posOffset>
            </wp:positionH>
            <wp:positionV relativeFrom="paragraph">
              <wp:posOffset>2110105</wp:posOffset>
            </wp:positionV>
            <wp:extent cx="5095875" cy="268541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I_2018.PNG"/>
                    <pic:cNvPicPr/>
                  </pic:nvPicPr>
                  <pic:blipFill>
                    <a:blip r:embed="rId9">
                      <a:extLst>
                        <a:ext uri="{28A0092B-C50C-407E-A947-70E740481C1C}">
                          <a14:useLocalDpi xmlns:a14="http://schemas.microsoft.com/office/drawing/2010/main" val="0"/>
                        </a:ext>
                      </a:extLst>
                    </a:blip>
                    <a:stretch>
                      <a:fillRect/>
                    </a:stretch>
                  </pic:blipFill>
                  <pic:spPr>
                    <a:xfrm>
                      <a:off x="0" y="0"/>
                      <a:ext cx="5095875" cy="2685415"/>
                    </a:xfrm>
                    <a:prstGeom prst="rect">
                      <a:avLst/>
                    </a:prstGeom>
                  </pic:spPr>
                </pic:pic>
              </a:graphicData>
            </a:graphic>
            <wp14:sizeRelH relativeFrom="page">
              <wp14:pctWidth>0</wp14:pctWidth>
            </wp14:sizeRelH>
            <wp14:sizeRelV relativeFrom="page">
              <wp14:pctHeight>0</wp14:pctHeight>
            </wp14:sizeRelV>
          </wp:anchor>
        </w:drawing>
      </w:r>
      <w:r w:rsidR="000F206F" w:rsidRPr="00F40984">
        <w:rPr>
          <w:sz w:val="24"/>
          <w:lang w:val="en-US"/>
        </w:rPr>
        <w:t>The SIGI covers f</w:t>
      </w:r>
      <w:r w:rsidR="004F7324">
        <w:rPr>
          <w:sz w:val="24"/>
          <w:lang w:val="en-US"/>
        </w:rPr>
        <w:t>our</w:t>
      </w:r>
      <w:r w:rsidR="000F206F" w:rsidRPr="00F40984">
        <w:rPr>
          <w:sz w:val="24"/>
          <w:lang w:val="en-US"/>
        </w:rPr>
        <w:t xml:space="preserve"> dimensions, spanning major socio-economic areas that affect the life course of a girl and a woman.</w:t>
      </w:r>
      <w:r w:rsidR="000F206F">
        <w:rPr>
          <w:sz w:val="24"/>
          <w:lang w:val="en-US"/>
        </w:rPr>
        <w:t xml:space="preserve"> </w:t>
      </w:r>
      <w:r w:rsidR="000F206F" w:rsidRPr="00F40984">
        <w:rPr>
          <w:sz w:val="24"/>
        </w:rPr>
        <w:t xml:space="preserve">The </w:t>
      </w:r>
      <w:r w:rsidR="000F206F" w:rsidRPr="00F40984">
        <w:rPr>
          <w:sz w:val="24"/>
          <w:u w:val="single"/>
        </w:rPr>
        <w:t>discrimination in the family</w:t>
      </w:r>
      <w:r w:rsidR="000F206F" w:rsidRPr="00F40984">
        <w:rPr>
          <w:b/>
          <w:sz w:val="24"/>
        </w:rPr>
        <w:t xml:space="preserve"> </w:t>
      </w:r>
      <w:r w:rsidR="000F206F" w:rsidRPr="00F40984">
        <w:rPr>
          <w:sz w:val="24"/>
        </w:rPr>
        <w:t>sub index captures social institutions that l</w:t>
      </w:r>
      <w:r w:rsidR="000F206F" w:rsidRPr="00F40984">
        <w:rPr>
          <w:bCs/>
          <w:sz w:val="24"/>
        </w:rPr>
        <w:t>imits women’s decision-making power and undervalues their status in the household and the family</w:t>
      </w:r>
      <w:r w:rsidR="000F206F">
        <w:rPr>
          <w:sz w:val="24"/>
        </w:rPr>
        <w:t xml:space="preserve">. The </w:t>
      </w:r>
      <w:r w:rsidR="000F206F" w:rsidRPr="00F40984">
        <w:rPr>
          <w:sz w:val="24"/>
          <w:u w:val="single"/>
        </w:rPr>
        <w:t>restricted physical integrity</w:t>
      </w:r>
      <w:r w:rsidR="000F206F">
        <w:rPr>
          <w:sz w:val="24"/>
        </w:rPr>
        <w:t xml:space="preserve"> sub index captures social institutions that </w:t>
      </w:r>
      <w:r w:rsidR="000F206F" w:rsidRPr="004A427A">
        <w:rPr>
          <w:sz w:val="24"/>
        </w:rPr>
        <w:t>l</w:t>
      </w:r>
      <w:r w:rsidR="000F206F">
        <w:rPr>
          <w:bCs/>
          <w:sz w:val="24"/>
        </w:rPr>
        <w:t>imit</w:t>
      </w:r>
      <w:r w:rsidR="000F206F" w:rsidRPr="004A427A">
        <w:rPr>
          <w:bCs/>
          <w:sz w:val="24"/>
        </w:rPr>
        <w:t xml:space="preserve"> women’s and girls’ control over their bodies, increase their vulnerability to a range of forms of violence</w:t>
      </w:r>
      <w:r w:rsidR="000F206F">
        <w:rPr>
          <w:bCs/>
          <w:sz w:val="24"/>
        </w:rPr>
        <w:t xml:space="preserve">. </w:t>
      </w:r>
      <w:r w:rsidR="000F206F">
        <w:rPr>
          <w:sz w:val="24"/>
        </w:rPr>
        <w:t xml:space="preserve">The </w:t>
      </w:r>
      <w:r w:rsidR="000F206F" w:rsidRPr="00F40984">
        <w:rPr>
          <w:sz w:val="24"/>
          <w:u w:val="single"/>
        </w:rPr>
        <w:t>restricted access to productive and financial resources</w:t>
      </w:r>
      <w:r w:rsidR="000F206F">
        <w:rPr>
          <w:sz w:val="24"/>
        </w:rPr>
        <w:t xml:space="preserve"> sub index captures </w:t>
      </w:r>
      <w:r w:rsidR="000F206F" w:rsidRPr="004A427A">
        <w:rPr>
          <w:sz w:val="24"/>
        </w:rPr>
        <w:t>discrimination in women’s rights</w:t>
      </w:r>
      <w:r w:rsidR="000F206F">
        <w:rPr>
          <w:sz w:val="24"/>
        </w:rPr>
        <w:t xml:space="preserve"> that have </w:t>
      </w:r>
      <w:r w:rsidR="000F206F" w:rsidRPr="004A427A">
        <w:rPr>
          <w:bCs/>
          <w:sz w:val="24"/>
        </w:rPr>
        <w:t>negative impacts on women’s opportunities for economic empowerment</w:t>
      </w:r>
      <w:r w:rsidR="000F206F">
        <w:rPr>
          <w:bCs/>
          <w:sz w:val="24"/>
        </w:rPr>
        <w:t xml:space="preserve">. </w:t>
      </w:r>
      <w:r w:rsidR="000F206F">
        <w:rPr>
          <w:sz w:val="24"/>
        </w:rPr>
        <w:t xml:space="preserve">The </w:t>
      </w:r>
      <w:r w:rsidR="000F206F" w:rsidRPr="00F40984">
        <w:rPr>
          <w:sz w:val="24"/>
          <w:u w:val="single"/>
        </w:rPr>
        <w:t>restricted Civil Liberties</w:t>
      </w:r>
      <w:r w:rsidR="000F206F">
        <w:rPr>
          <w:sz w:val="24"/>
        </w:rPr>
        <w:t xml:space="preserve"> </w:t>
      </w:r>
      <w:r w:rsidR="000F206F" w:rsidRPr="004A427A">
        <w:rPr>
          <w:sz w:val="24"/>
        </w:rPr>
        <w:t>sub-index c</w:t>
      </w:r>
      <w:r w:rsidR="000F206F" w:rsidRPr="004A427A">
        <w:rPr>
          <w:bCs/>
          <w:sz w:val="24"/>
        </w:rPr>
        <w:t>aptures discriminatory laws and practices restricting women’s access to, participation and voice in the public and social spheres</w:t>
      </w:r>
      <w:r w:rsidR="000F206F">
        <w:rPr>
          <w:bCs/>
          <w:sz w:val="24"/>
        </w:rPr>
        <w:t>.</w:t>
      </w:r>
      <w:r w:rsidR="0020332B" w:rsidRPr="0020332B">
        <w:rPr>
          <w:noProof/>
          <w:lang w:eastAsia="en-GB"/>
        </w:rPr>
        <w:t xml:space="preserve"> </w:t>
      </w:r>
    </w:p>
    <w:p w:rsidR="00C979EE" w:rsidRDefault="00CB25DE" w:rsidP="00C979EE">
      <w:pPr>
        <w:pStyle w:val="Caption"/>
        <w:ind w:left="1418"/>
        <w:contextualSpacing/>
        <w:rPr>
          <w:b w:val="0"/>
          <w:color w:val="auto"/>
          <w:sz w:val="16"/>
        </w:rPr>
      </w:pPr>
      <w:r w:rsidRPr="00CB25DE">
        <w:rPr>
          <w:b w:val="0"/>
          <w:color w:val="auto"/>
          <w:sz w:val="16"/>
        </w:rPr>
        <w:t>Note:</w:t>
      </w:r>
      <w:r>
        <w:rPr>
          <w:b w:val="0"/>
          <w:color w:val="auto"/>
          <w:sz w:val="16"/>
        </w:rPr>
        <w:t xml:space="preserve"> </w:t>
      </w:r>
      <w:r w:rsidRPr="00CB25DE">
        <w:rPr>
          <w:b w:val="0"/>
          <w:color w:val="auto"/>
          <w:sz w:val="16"/>
        </w:rPr>
        <w:t>* modified</w:t>
      </w:r>
      <w:r w:rsidR="00216BC4">
        <w:rPr>
          <w:b w:val="0"/>
          <w:color w:val="auto"/>
          <w:sz w:val="16"/>
        </w:rPr>
        <w:t xml:space="preserve"> variables</w:t>
      </w:r>
      <w:r w:rsidRPr="00CB25DE">
        <w:rPr>
          <w:b w:val="0"/>
          <w:color w:val="auto"/>
          <w:sz w:val="16"/>
        </w:rPr>
        <w:t xml:space="preserve">; </w:t>
      </w:r>
    </w:p>
    <w:p w:rsidR="0020332B" w:rsidRPr="00C979EE" w:rsidRDefault="00CB25DE" w:rsidP="00C979EE">
      <w:pPr>
        <w:pStyle w:val="Caption"/>
        <w:ind w:left="1418"/>
        <w:contextualSpacing/>
        <w:rPr>
          <w:b w:val="0"/>
          <w:color w:val="auto"/>
          <w:sz w:val="16"/>
        </w:rPr>
      </w:pPr>
      <w:r w:rsidRPr="00CB25DE">
        <w:rPr>
          <w:b w:val="0"/>
          <w:color w:val="auto"/>
          <w:sz w:val="16"/>
        </w:rPr>
        <w:t xml:space="preserve">** </w:t>
      </w:r>
      <w:proofErr w:type="gramStart"/>
      <w:r w:rsidRPr="00CB25DE">
        <w:rPr>
          <w:b w:val="0"/>
          <w:color w:val="auto"/>
          <w:sz w:val="16"/>
        </w:rPr>
        <w:t>new</w:t>
      </w:r>
      <w:proofErr w:type="gramEnd"/>
      <w:r w:rsidRPr="00CB25DE">
        <w:rPr>
          <w:b w:val="0"/>
          <w:color w:val="auto"/>
          <w:sz w:val="16"/>
        </w:rPr>
        <w:t xml:space="preserve"> variables </w:t>
      </w:r>
    </w:p>
    <w:p w:rsidR="00A60E8C" w:rsidRPr="00326A42" w:rsidRDefault="000F206F" w:rsidP="001F7C67">
      <w:pPr>
        <w:jc w:val="center"/>
        <w:rPr>
          <w:b/>
          <w:color w:val="548DD4" w:themeColor="text2" w:themeTint="99"/>
          <w:sz w:val="24"/>
        </w:rPr>
      </w:pPr>
      <w:r>
        <w:rPr>
          <w:b/>
          <w:color w:val="548DD4" w:themeColor="text2" w:themeTint="99"/>
          <w:sz w:val="24"/>
        </w:rPr>
        <w:t>How can SIGI help countries achieve SDG 5</w:t>
      </w:r>
      <w:r w:rsidR="00A60E8C" w:rsidRPr="00326A42">
        <w:rPr>
          <w:b/>
          <w:color w:val="548DD4" w:themeColor="text2" w:themeTint="99"/>
          <w:sz w:val="24"/>
        </w:rPr>
        <w:t>?</w:t>
      </w:r>
    </w:p>
    <w:p w:rsidR="00F40984" w:rsidRDefault="00A60E8C" w:rsidP="00627162">
      <w:pPr>
        <w:rPr>
          <w:sz w:val="24"/>
        </w:rPr>
      </w:pPr>
      <w:r>
        <w:rPr>
          <w:sz w:val="24"/>
        </w:rPr>
        <w:t xml:space="preserve">The </w:t>
      </w:r>
      <w:r w:rsidRPr="003271D7">
        <w:rPr>
          <w:sz w:val="24"/>
        </w:rPr>
        <w:t xml:space="preserve">SIGI has </w:t>
      </w:r>
      <w:r w:rsidR="000F206F">
        <w:rPr>
          <w:sz w:val="24"/>
        </w:rPr>
        <w:t xml:space="preserve">already </w:t>
      </w:r>
      <w:r w:rsidRPr="003271D7">
        <w:rPr>
          <w:sz w:val="24"/>
        </w:rPr>
        <w:t xml:space="preserve">contributed to improving policies targeting gender equality and women’s empowerment at the global, regional and national levels. </w:t>
      </w:r>
      <w:r w:rsidRPr="005A2A95">
        <w:rPr>
          <w:sz w:val="24"/>
        </w:rPr>
        <w:t>The SIGI remains the only global database on discriminatory social institutions</w:t>
      </w:r>
      <w:r>
        <w:rPr>
          <w:sz w:val="24"/>
        </w:rPr>
        <w:t xml:space="preserve"> and offers </w:t>
      </w:r>
      <w:r w:rsidRPr="00CF065E">
        <w:rPr>
          <w:sz w:val="24"/>
        </w:rPr>
        <w:t>vital new evidence and perspectives on emerging topics on gender and development</w:t>
      </w:r>
      <w:r w:rsidRPr="003271D7">
        <w:rPr>
          <w:sz w:val="24"/>
        </w:rPr>
        <w:t>.</w:t>
      </w:r>
      <w:r w:rsidR="00454007">
        <w:rPr>
          <w:sz w:val="24"/>
        </w:rPr>
        <w:t xml:space="preserve"> </w:t>
      </w:r>
    </w:p>
    <w:p w:rsidR="003034AF" w:rsidRDefault="00454007" w:rsidP="000F206F">
      <w:pPr>
        <w:rPr>
          <w:sz w:val="24"/>
        </w:rPr>
      </w:pPr>
      <w:r w:rsidRPr="00454007">
        <w:rPr>
          <w:sz w:val="24"/>
          <w:u w:val="single"/>
        </w:rPr>
        <w:t>At the global level</w:t>
      </w:r>
      <w:r w:rsidR="00791366">
        <w:rPr>
          <w:sz w:val="24"/>
        </w:rPr>
        <w:t xml:space="preserve">, the </w:t>
      </w:r>
      <w:r w:rsidR="00791366" w:rsidRPr="00791366">
        <w:rPr>
          <w:bCs/>
          <w:sz w:val="24"/>
          <w:lang w:val="en-US"/>
        </w:rPr>
        <w:t>OECD Development Centre’s</w:t>
      </w:r>
      <w:r w:rsidR="00791366" w:rsidRPr="0041686C">
        <w:rPr>
          <w:bCs/>
          <w:sz w:val="24"/>
          <w:lang w:val="en-US"/>
        </w:rPr>
        <w:t xml:space="preserve"> </w:t>
      </w:r>
      <w:r w:rsidR="00791366" w:rsidRPr="0041686C">
        <w:rPr>
          <w:bCs/>
          <w:iCs/>
          <w:sz w:val="24"/>
          <w:lang w:val="en-US"/>
        </w:rPr>
        <w:t>Social Institutions and Gender Index</w:t>
      </w:r>
      <w:r w:rsidR="00444DEA">
        <w:rPr>
          <w:sz w:val="24"/>
        </w:rPr>
        <w:t xml:space="preserve"> </w:t>
      </w:r>
      <w:r w:rsidR="0041686C">
        <w:rPr>
          <w:sz w:val="24"/>
        </w:rPr>
        <w:t xml:space="preserve">is </w:t>
      </w:r>
      <w:r w:rsidR="00444DEA">
        <w:rPr>
          <w:sz w:val="24"/>
        </w:rPr>
        <w:t>collect</w:t>
      </w:r>
      <w:r w:rsidR="0041686C">
        <w:rPr>
          <w:sz w:val="24"/>
        </w:rPr>
        <w:t>ing</w:t>
      </w:r>
      <w:r w:rsidR="00444DEA">
        <w:rPr>
          <w:sz w:val="24"/>
        </w:rPr>
        <w:t xml:space="preserve"> data </w:t>
      </w:r>
      <w:r w:rsidR="0041686C">
        <w:rPr>
          <w:sz w:val="24"/>
        </w:rPr>
        <w:t>under</w:t>
      </w:r>
      <w:r w:rsidR="00444DEA">
        <w:rPr>
          <w:sz w:val="24"/>
        </w:rPr>
        <w:t xml:space="preserve"> </w:t>
      </w:r>
      <w:r w:rsidR="00791366">
        <w:rPr>
          <w:sz w:val="24"/>
        </w:rPr>
        <w:t xml:space="preserve">the goal </w:t>
      </w:r>
      <w:r w:rsidR="003C3F31">
        <w:rPr>
          <w:sz w:val="24"/>
        </w:rPr>
        <w:t>5.1.1 of the Sustainable Development Goals</w:t>
      </w:r>
      <w:r>
        <w:rPr>
          <w:sz w:val="24"/>
        </w:rPr>
        <w:t xml:space="preserve">. </w:t>
      </w:r>
    </w:p>
    <w:p w:rsidR="000F206F" w:rsidRPr="002D34FA" w:rsidRDefault="000F206F" w:rsidP="000F206F">
      <w:pPr>
        <w:rPr>
          <w:sz w:val="24"/>
        </w:rPr>
      </w:pPr>
      <w:r w:rsidRPr="003271D7">
        <w:rPr>
          <w:sz w:val="24"/>
          <w:u w:val="single"/>
        </w:rPr>
        <w:t>At the regional level</w:t>
      </w:r>
      <w:r w:rsidRPr="003271D7">
        <w:rPr>
          <w:sz w:val="24"/>
        </w:rPr>
        <w:t xml:space="preserve">, SIGI Regional reports have provided detailed analysis of how discriminatory social institutions affect regional development, and offer pathways for governments to maximise the multiple benefits of gender equality for their development strategies. </w:t>
      </w:r>
    </w:p>
    <w:p w:rsidR="005A2A95" w:rsidRPr="002755BC" w:rsidRDefault="00454007" w:rsidP="00F40984">
      <w:pPr>
        <w:rPr>
          <w:sz w:val="24"/>
        </w:rPr>
      </w:pPr>
      <w:r w:rsidRPr="003271D7">
        <w:rPr>
          <w:sz w:val="24"/>
          <w:u w:val="single"/>
        </w:rPr>
        <w:t>At the national level</w:t>
      </w:r>
      <w:r w:rsidRPr="003271D7">
        <w:rPr>
          <w:sz w:val="24"/>
        </w:rPr>
        <w:t xml:space="preserve">, </w:t>
      </w:r>
      <w:r>
        <w:rPr>
          <w:sz w:val="24"/>
        </w:rPr>
        <w:t>the two</w:t>
      </w:r>
      <w:r w:rsidRPr="003271D7">
        <w:rPr>
          <w:sz w:val="24"/>
        </w:rPr>
        <w:t xml:space="preserve"> country stud</w:t>
      </w:r>
      <w:r>
        <w:rPr>
          <w:sz w:val="24"/>
        </w:rPr>
        <w:t>ies</w:t>
      </w:r>
      <w:r w:rsidRPr="003271D7">
        <w:rPr>
          <w:sz w:val="24"/>
        </w:rPr>
        <w:t xml:space="preserve"> in Uganda</w:t>
      </w:r>
      <w:r>
        <w:rPr>
          <w:sz w:val="24"/>
        </w:rPr>
        <w:t xml:space="preserve"> and Burkina Faso</w:t>
      </w:r>
      <w:r w:rsidR="000F206F">
        <w:rPr>
          <w:sz w:val="24"/>
        </w:rPr>
        <w:t xml:space="preserve"> have been developed and constitute a ‘’compass for achieving SDG 5’’. This analysis was undertaken</w:t>
      </w:r>
      <w:r w:rsidR="00F5371C">
        <w:rPr>
          <w:sz w:val="24"/>
        </w:rPr>
        <w:t xml:space="preserve"> </w:t>
      </w:r>
      <w:r w:rsidRPr="003271D7">
        <w:rPr>
          <w:sz w:val="24"/>
        </w:rPr>
        <w:t xml:space="preserve">adapting the </w:t>
      </w:r>
      <w:r>
        <w:rPr>
          <w:sz w:val="24"/>
        </w:rPr>
        <w:t xml:space="preserve">global </w:t>
      </w:r>
      <w:r w:rsidRPr="003271D7">
        <w:rPr>
          <w:sz w:val="24"/>
        </w:rPr>
        <w:t xml:space="preserve">SIGI framework to </w:t>
      </w:r>
      <w:r>
        <w:rPr>
          <w:sz w:val="24"/>
        </w:rPr>
        <w:t xml:space="preserve">national specificities to </w:t>
      </w:r>
      <w:r w:rsidRPr="003271D7">
        <w:rPr>
          <w:sz w:val="24"/>
        </w:rPr>
        <w:t xml:space="preserve">produce </w:t>
      </w:r>
      <w:r w:rsidR="000F206F">
        <w:rPr>
          <w:sz w:val="24"/>
        </w:rPr>
        <w:t>unique new</w:t>
      </w:r>
      <w:r w:rsidRPr="003271D7">
        <w:rPr>
          <w:sz w:val="24"/>
        </w:rPr>
        <w:t xml:space="preserve"> data on discriminatory social institutions </w:t>
      </w:r>
      <w:r>
        <w:rPr>
          <w:sz w:val="24"/>
        </w:rPr>
        <w:t xml:space="preserve">at the sub-national level and assist the design of </w:t>
      </w:r>
      <w:r w:rsidR="000F206F">
        <w:rPr>
          <w:sz w:val="24"/>
        </w:rPr>
        <w:t xml:space="preserve">recommendations to support more </w:t>
      </w:r>
      <w:r>
        <w:rPr>
          <w:sz w:val="24"/>
        </w:rPr>
        <w:t>effective policies to tackle the root causes of gender inequality.</w:t>
      </w:r>
      <w:r w:rsidR="00A60E8C" w:rsidRPr="003271D7">
        <w:rPr>
          <w:sz w:val="24"/>
        </w:rPr>
        <w:t xml:space="preserve"> </w:t>
      </w:r>
    </w:p>
    <w:sectPr w:rsidR="005A2A95" w:rsidRPr="002755BC" w:rsidSect="00B9214A">
      <w:headerReference w:type="default" r:id="rId10"/>
      <w:pgSz w:w="11906" w:h="16838"/>
      <w:pgMar w:top="1440" w:right="707" w:bottom="851"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8F2" w:rsidRDefault="00CE08F2" w:rsidP="00501D10">
      <w:pPr>
        <w:spacing w:after="0" w:line="240" w:lineRule="auto"/>
      </w:pPr>
      <w:r>
        <w:separator/>
      </w:r>
    </w:p>
  </w:endnote>
  <w:endnote w:type="continuationSeparator" w:id="0">
    <w:p w:rsidR="00CE08F2" w:rsidRDefault="00CE08F2" w:rsidP="00501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8F2" w:rsidRDefault="00CE08F2" w:rsidP="00501D10">
      <w:pPr>
        <w:spacing w:after="0" w:line="240" w:lineRule="auto"/>
      </w:pPr>
      <w:r>
        <w:separator/>
      </w:r>
    </w:p>
  </w:footnote>
  <w:footnote w:type="continuationSeparator" w:id="0">
    <w:p w:rsidR="00CE08F2" w:rsidRDefault="00CE08F2" w:rsidP="00501D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10" w:rsidRDefault="00501D10">
    <w:pPr>
      <w:pStyle w:val="Header"/>
    </w:pPr>
    <w:r>
      <w:rPr>
        <w:noProof/>
        <w:lang w:eastAsia="en-GB"/>
      </w:rPr>
      <w:drawing>
        <wp:inline distT="0" distB="0" distL="0" distR="0" wp14:anchorId="05FA3E8F" wp14:editId="6C3E98F6">
          <wp:extent cx="5731510" cy="6318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31510" cy="631825"/>
                  </a:xfrm>
                  <a:prstGeom prst="rect">
                    <a:avLst/>
                  </a:prstGeom>
                </pic:spPr>
              </pic:pic>
            </a:graphicData>
          </a:graphic>
        </wp:inline>
      </w:drawing>
    </w:r>
  </w:p>
  <w:p w:rsidR="00542DC5" w:rsidRDefault="00542D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E83"/>
    <w:multiLevelType w:val="hybridMultilevel"/>
    <w:tmpl w:val="793EC4DE"/>
    <w:lvl w:ilvl="0" w:tplc="6D06DCA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050B06"/>
    <w:multiLevelType w:val="hybridMultilevel"/>
    <w:tmpl w:val="41B2C130"/>
    <w:lvl w:ilvl="0" w:tplc="FDC2A6A8">
      <w:start w:val="1"/>
      <w:numFmt w:val="bullet"/>
      <w:lvlText w:val="•"/>
      <w:lvlJc w:val="left"/>
      <w:pPr>
        <w:tabs>
          <w:tab w:val="num" w:pos="720"/>
        </w:tabs>
        <w:ind w:left="720" w:hanging="360"/>
      </w:pPr>
      <w:rPr>
        <w:rFonts w:ascii="Times New Roman" w:hAnsi="Times New Roman" w:hint="default"/>
      </w:rPr>
    </w:lvl>
    <w:lvl w:ilvl="1" w:tplc="E5BC0970" w:tentative="1">
      <w:start w:val="1"/>
      <w:numFmt w:val="bullet"/>
      <w:lvlText w:val="•"/>
      <w:lvlJc w:val="left"/>
      <w:pPr>
        <w:tabs>
          <w:tab w:val="num" w:pos="1440"/>
        </w:tabs>
        <w:ind w:left="1440" w:hanging="360"/>
      </w:pPr>
      <w:rPr>
        <w:rFonts w:ascii="Times New Roman" w:hAnsi="Times New Roman" w:hint="default"/>
      </w:rPr>
    </w:lvl>
    <w:lvl w:ilvl="2" w:tplc="838AB40A" w:tentative="1">
      <w:start w:val="1"/>
      <w:numFmt w:val="bullet"/>
      <w:lvlText w:val="•"/>
      <w:lvlJc w:val="left"/>
      <w:pPr>
        <w:tabs>
          <w:tab w:val="num" w:pos="2160"/>
        </w:tabs>
        <w:ind w:left="2160" w:hanging="360"/>
      </w:pPr>
      <w:rPr>
        <w:rFonts w:ascii="Times New Roman" w:hAnsi="Times New Roman" w:hint="default"/>
      </w:rPr>
    </w:lvl>
    <w:lvl w:ilvl="3" w:tplc="63A0564E" w:tentative="1">
      <w:start w:val="1"/>
      <w:numFmt w:val="bullet"/>
      <w:lvlText w:val="•"/>
      <w:lvlJc w:val="left"/>
      <w:pPr>
        <w:tabs>
          <w:tab w:val="num" w:pos="2880"/>
        </w:tabs>
        <w:ind w:left="2880" w:hanging="360"/>
      </w:pPr>
      <w:rPr>
        <w:rFonts w:ascii="Times New Roman" w:hAnsi="Times New Roman" w:hint="default"/>
      </w:rPr>
    </w:lvl>
    <w:lvl w:ilvl="4" w:tplc="51B4DF5E" w:tentative="1">
      <w:start w:val="1"/>
      <w:numFmt w:val="bullet"/>
      <w:lvlText w:val="•"/>
      <w:lvlJc w:val="left"/>
      <w:pPr>
        <w:tabs>
          <w:tab w:val="num" w:pos="3600"/>
        </w:tabs>
        <w:ind w:left="3600" w:hanging="360"/>
      </w:pPr>
      <w:rPr>
        <w:rFonts w:ascii="Times New Roman" w:hAnsi="Times New Roman" w:hint="default"/>
      </w:rPr>
    </w:lvl>
    <w:lvl w:ilvl="5" w:tplc="977AC074" w:tentative="1">
      <w:start w:val="1"/>
      <w:numFmt w:val="bullet"/>
      <w:lvlText w:val="•"/>
      <w:lvlJc w:val="left"/>
      <w:pPr>
        <w:tabs>
          <w:tab w:val="num" w:pos="4320"/>
        </w:tabs>
        <w:ind w:left="4320" w:hanging="360"/>
      </w:pPr>
      <w:rPr>
        <w:rFonts w:ascii="Times New Roman" w:hAnsi="Times New Roman" w:hint="default"/>
      </w:rPr>
    </w:lvl>
    <w:lvl w:ilvl="6" w:tplc="C8E8FAC4" w:tentative="1">
      <w:start w:val="1"/>
      <w:numFmt w:val="bullet"/>
      <w:lvlText w:val="•"/>
      <w:lvlJc w:val="left"/>
      <w:pPr>
        <w:tabs>
          <w:tab w:val="num" w:pos="5040"/>
        </w:tabs>
        <w:ind w:left="5040" w:hanging="360"/>
      </w:pPr>
      <w:rPr>
        <w:rFonts w:ascii="Times New Roman" w:hAnsi="Times New Roman" w:hint="default"/>
      </w:rPr>
    </w:lvl>
    <w:lvl w:ilvl="7" w:tplc="C124374A" w:tentative="1">
      <w:start w:val="1"/>
      <w:numFmt w:val="bullet"/>
      <w:lvlText w:val="•"/>
      <w:lvlJc w:val="left"/>
      <w:pPr>
        <w:tabs>
          <w:tab w:val="num" w:pos="5760"/>
        </w:tabs>
        <w:ind w:left="5760" w:hanging="360"/>
      </w:pPr>
      <w:rPr>
        <w:rFonts w:ascii="Times New Roman" w:hAnsi="Times New Roman" w:hint="default"/>
      </w:rPr>
    </w:lvl>
    <w:lvl w:ilvl="8" w:tplc="674E9B6C" w:tentative="1">
      <w:start w:val="1"/>
      <w:numFmt w:val="bullet"/>
      <w:lvlText w:val="•"/>
      <w:lvlJc w:val="left"/>
      <w:pPr>
        <w:tabs>
          <w:tab w:val="num" w:pos="6480"/>
        </w:tabs>
        <w:ind w:left="6480" w:hanging="360"/>
      </w:pPr>
      <w:rPr>
        <w:rFonts w:ascii="Times New Roman" w:hAnsi="Times New Roman" w:hint="default"/>
      </w:rPr>
    </w:lvl>
  </w:abstractNum>
  <w:abstractNum w:abstractNumId="2">
    <w:nsid w:val="1003661F"/>
    <w:multiLevelType w:val="hybridMultilevel"/>
    <w:tmpl w:val="FE5A5550"/>
    <w:lvl w:ilvl="0" w:tplc="6D06DCA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D1B45F3"/>
    <w:multiLevelType w:val="hybridMultilevel"/>
    <w:tmpl w:val="11183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FE65DB"/>
    <w:multiLevelType w:val="hybridMultilevel"/>
    <w:tmpl w:val="BB264342"/>
    <w:lvl w:ilvl="0" w:tplc="8E024962">
      <w:start w:val="1"/>
      <w:numFmt w:val="bullet"/>
      <w:lvlText w:val="•"/>
      <w:lvlJc w:val="left"/>
      <w:pPr>
        <w:tabs>
          <w:tab w:val="num" w:pos="720"/>
        </w:tabs>
        <w:ind w:left="720" w:hanging="360"/>
      </w:pPr>
      <w:rPr>
        <w:rFonts w:ascii="Times New Roman" w:hAnsi="Times New Roman" w:hint="default"/>
      </w:rPr>
    </w:lvl>
    <w:lvl w:ilvl="1" w:tplc="CD445960" w:tentative="1">
      <w:start w:val="1"/>
      <w:numFmt w:val="bullet"/>
      <w:lvlText w:val="•"/>
      <w:lvlJc w:val="left"/>
      <w:pPr>
        <w:tabs>
          <w:tab w:val="num" w:pos="1440"/>
        </w:tabs>
        <w:ind w:left="1440" w:hanging="360"/>
      </w:pPr>
      <w:rPr>
        <w:rFonts w:ascii="Times New Roman" w:hAnsi="Times New Roman" w:hint="default"/>
      </w:rPr>
    </w:lvl>
    <w:lvl w:ilvl="2" w:tplc="1BB667AC" w:tentative="1">
      <w:start w:val="1"/>
      <w:numFmt w:val="bullet"/>
      <w:lvlText w:val="•"/>
      <w:lvlJc w:val="left"/>
      <w:pPr>
        <w:tabs>
          <w:tab w:val="num" w:pos="2160"/>
        </w:tabs>
        <w:ind w:left="2160" w:hanging="360"/>
      </w:pPr>
      <w:rPr>
        <w:rFonts w:ascii="Times New Roman" w:hAnsi="Times New Roman" w:hint="default"/>
      </w:rPr>
    </w:lvl>
    <w:lvl w:ilvl="3" w:tplc="973C6C2E" w:tentative="1">
      <w:start w:val="1"/>
      <w:numFmt w:val="bullet"/>
      <w:lvlText w:val="•"/>
      <w:lvlJc w:val="left"/>
      <w:pPr>
        <w:tabs>
          <w:tab w:val="num" w:pos="2880"/>
        </w:tabs>
        <w:ind w:left="2880" w:hanging="360"/>
      </w:pPr>
      <w:rPr>
        <w:rFonts w:ascii="Times New Roman" w:hAnsi="Times New Roman" w:hint="default"/>
      </w:rPr>
    </w:lvl>
    <w:lvl w:ilvl="4" w:tplc="A6E642C8" w:tentative="1">
      <w:start w:val="1"/>
      <w:numFmt w:val="bullet"/>
      <w:lvlText w:val="•"/>
      <w:lvlJc w:val="left"/>
      <w:pPr>
        <w:tabs>
          <w:tab w:val="num" w:pos="3600"/>
        </w:tabs>
        <w:ind w:left="3600" w:hanging="360"/>
      </w:pPr>
      <w:rPr>
        <w:rFonts w:ascii="Times New Roman" w:hAnsi="Times New Roman" w:hint="default"/>
      </w:rPr>
    </w:lvl>
    <w:lvl w:ilvl="5" w:tplc="7264D594" w:tentative="1">
      <w:start w:val="1"/>
      <w:numFmt w:val="bullet"/>
      <w:lvlText w:val="•"/>
      <w:lvlJc w:val="left"/>
      <w:pPr>
        <w:tabs>
          <w:tab w:val="num" w:pos="4320"/>
        </w:tabs>
        <w:ind w:left="4320" w:hanging="360"/>
      </w:pPr>
      <w:rPr>
        <w:rFonts w:ascii="Times New Roman" w:hAnsi="Times New Roman" w:hint="default"/>
      </w:rPr>
    </w:lvl>
    <w:lvl w:ilvl="6" w:tplc="47005018" w:tentative="1">
      <w:start w:val="1"/>
      <w:numFmt w:val="bullet"/>
      <w:lvlText w:val="•"/>
      <w:lvlJc w:val="left"/>
      <w:pPr>
        <w:tabs>
          <w:tab w:val="num" w:pos="5040"/>
        </w:tabs>
        <w:ind w:left="5040" w:hanging="360"/>
      </w:pPr>
      <w:rPr>
        <w:rFonts w:ascii="Times New Roman" w:hAnsi="Times New Roman" w:hint="default"/>
      </w:rPr>
    </w:lvl>
    <w:lvl w:ilvl="7" w:tplc="098A6B74" w:tentative="1">
      <w:start w:val="1"/>
      <w:numFmt w:val="bullet"/>
      <w:lvlText w:val="•"/>
      <w:lvlJc w:val="left"/>
      <w:pPr>
        <w:tabs>
          <w:tab w:val="num" w:pos="5760"/>
        </w:tabs>
        <w:ind w:left="5760" w:hanging="360"/>
      </w:pPr>
      <w:rPr>
        <w:rFonts w:ascii="Times New Roman" w:hAnsi="Times New Roman" w:hint="default"/>
      </w:rPr>
    </w:lvl>
    <w:lvl w:ilvl="8" w:tplc="B138490C" w:tentative="1">
      <w:start w:val="1"/>
      <w:numFmt w:val="bullet"/>
      <w:lvlText w:val="•"/>
      <w:lvlJc w:val="left"/>
      <w:pPr>
        <w:tabs>
          <w:tab w:val="num" w:pos="6480"/>
        </w:tabs>
        <w:ind w:left="6480" w:hanging="360"/>
      </w:pPr>
      <w:rPr>
        <w:rFonts w:ascii="Times New Roman" w:hAnsi="Times New Roman" w:hint="default"/>
      </w:rPr>
    </w:lvl>
  </w:abstractNum>
  <w:abstractNum w:abstractNumId="5">
    <w:nsid w:val="32366D5B"/>
    <w:multiLevelType w:val="hybridMultilevel"/>
    <w:tmpl w:val="18A48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49305E"/>
    <w:multiLevelType w:val="hybridMultilevel"/>
    <w:tmpl w:val="85301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B9A20D8"/>
    <w:multiLevelType w:val="hybridMultilevel"/>
    <w:tmpl w:val="6B7255B2"/>
    <w:lvl w:ilvl="0" w:tplc="6D06DCA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30535C"/>
    <w:multiLevelType w:val="hybridMultilevel"/>
    <w:tmpl w:val="56A8DCF8"/>
    <w:lvl w:ilvl="0" w:tplc="9AD205BA">
      <w:start w:val="1"/>
      <w:numFmt w:val="bullet"/>
      <w:lvlText w:val="•"/>
      <w:lvlJc w:val="left"/>
      <w:pPr>
        <w:tabs>
          <w:tab w:val="num" w:pos="720"/>
        </w:tabs>
        <w:ind w:left="720" w:hanging="360"/>
      </w:pPr>
      <w:rPr>
        <w:rFonts w:ascii="Times New Roman" w:hAnsi="Times New Roman" w:hint="default"/>
      </w:rPr>
    </w:lvl>
    <w:lvl w:ilvl="1" w:tplc="2CFE73E8" w:tentative="1">
      <w:start w:val="1"/>
      <w:numFmt w:val="bullet"/>
      <w:lvlText w:val="•"/>
      <w:lvlJc w:val="left"/>
      <w:pPr>
        <w:tabs>
          <w:tab w:val="num" w:pos="1440"/>
        </w:tabs>
        <w:ind w:left="1440" w:hanging="360"/>
      </w:pPr>
      <w:rPr>
        <w:rFonts w:ascii="Times New Roman" w:hAnsi="Times New Roman" w:hint="default"/>
      </w:rPr>
    </w:lvl>
    <w:lvl w:ilvl="2" w:tplc="097AEB5A" w:tentative="1">
      <w:start w:val="1"/>
      <w:numFmt w:val="bullet"/>
      <w:lvlText w:val="•"/>
      <w:lvlJc w:val="left"/>
      <w:pPr>
        <w:tabs>
          <w:tab w:val="num" w:pos="2160"/>
        </w:tabs>
        <w:ind w:left="2160" w:hanging="360"/>
      </w:pPr>
      <w:rPr>
        <w:rFonts w:ascii="Times New Roman" w:hAnsi="Times New Roman" w:hint="default"/>
      </w:rPr>
    </w:lvl>
    <w:lvl w:ilvl="3" w:tplc="967EF136" w:tentative="1">
      <w:start w:val="1"/>
      <w:numFmt w:val="bullet"/>
      <w:lvlText w:val="•"/>
      <w:lvlJc w:val="left"/>
      <w:pPr>
        <w:tabs>
          <w:tab w:val="num" w:pos="2880"/>
        </w:tabs>
        <w:ind w:left="2880" w:hanging="360"/>
      </w:pPr>
      <w:rPr>
        <w:rFonts w:ascii="Times New Roman" w:hAnsi="Times New Roman" w:hint="default"/>
      </w:rPr>
    </w:lvl>
    <w:lvl w:ilvl="4" w:tplc="631EE068" w:tentative="1">
      <w:start w:val="1"/>
      <w:numFmt w:val="bullet"/>
      <w:lvlText w:val="•"/>
      <w:lvlJc w:val="left"/>
      <w:pPr>
        <w:tabs>
          <w:tab w:val="num" w:pos="3600"/>
        </w:tabs>
        <w:ind w:left="3600" w:hanging="360"/>
      </w:pPr>
      <w:rPr>
        <w:rFonts w:ascii="Times New Roman" w:hAnsi="Times New Roman" w:hint="default"/>
      </w:rPr>
    </w:lvl>
    <w:lvl w:ilvl="5" w:tplc="AAF88430" w:tentative="1">
      <w:start w:val="1"/>
      <w:numFmt w:val="bullet"/>
      <w:lvlText w:val="•"/>
      <w:lvlJc w:val="left"/>
      <w:pPr>
        <w:tabs>
          <w:tab w:val="num" w:pos="4320"/>
        </w:tabs>
        <w:ind w:left="4320" w:hanging="360"/>
      </w:pPr>
      <w:rPr>
        <w:rFonts w:ascii="Times New Roman" w:hAnsi="Times New Roman" w:hint="default"/>
      </w:rPr>
    </w:lvl>
    <w:lvl w:ilvl="6" w:tplc="966C4D1E" w:tentative="1">
      <w:start w:val="1"/>
      <w:numFmt w:val="bullet"/>
      <w:lvlText w:val="•"/>
      <w:lvlJc w:val="left"/>
      <w:pPr>
        <w:tabs>
          <w:tab w:val="num" w:pos="5040"/>
        </w:tabs>
        <w:ind w:left="5040" w:hanging="360"/>
      </w:pPr>
      <w:rPr>
        <w:rFonts w:ascii="Times New Roman" w:hAnsi="Times New Roman" w:hint="default"/>
      </w:rPr>
    </w:lvl>
    <w:lvl w:ilvl="7" w:tplc="105023BE" w:tentative="1">
      <w:start w:val="1"/>
      <w:numFmt w:val="bullet"/>
      <w:lvlText w:val="•"/>
      <w:lvlJc w:val="left"/>
      <w:pPr>
        <w:tabs>
          <w:tab w:val="num" w:pos="5760"/>
        </w:tabs>
        <w:ind w:left="5760" w:hanging="360"/>
      </w:pPr>
      <w:rPr>
        <w:rFonts w:ascii="Times New Roman" w:hAnsi="Times New Roman" w:hint="default"/>
      </w:rPr>
    </w:lvl>
    <w:lvl w:ilvl="8" w:tplc="929CEA8A" w:tentative="1">
      <w:start w:val="1"/>
      <w:numFmt w:val="bullet"/>
      <w:lvlText w:val="•"/>
      <w:lvlJc w:val="left"/>
      <w:pPr>
        <w:tabs>
          <w:tab w:val="num" w:pos="6480"/>
        </w:tabs>
        <w:ind w:left="6480" w:hanging="360"/>
      </w:pPr>
      <w:rPr>
        <w:rFonts w:ascii="Times New Roman" w:hAnsi="Times New Roman" w:hint="default"/>
      </w:rPr>
    </w:lvl>
  </w:abstractNum>
  <w:abstractNum w:abstractNumId="9">
    <w:nsid w:val="5AE07BB5"/>
    <w:multiLevelType w:val="hybridMultilevel"/>
    <w:tmpl w:val="613A669E"/>
    <w:lvl w:ilvl="0" w:tplc="47E2F878">
      <w:start w:val="1"/>
      <w:numFmt w:val="bullet"/>
      <w:lvlText w:val="•"/>
      <w:lvlJc w:val="left"/>
      <w:pPr>
        <w:tabs>
          <w:tab w:val="num" w:pos="720"/>
        </w:tabs>
        <w:ind w:left="720" w:hanging="360"/>
      </w:pPr>
      <w:rPr>
        <w:rFonts w:ascii="Times New Roman" w:hAnsi="Times New Roman" w:hint="default"/>
      </w:rPr>
    </w:lvl>
    <w:lvl w:ilvl="1" w:tplc="C39CBA98" w:tentative="1">
      <w:start w:val="1"/>
      <w:numFmt w:val="bullet"/>
      <w:lvlText w:val="•"/>
      <w:lvlJc w:val="left"/>
      <w:pPr>
        <w:tabs>
          <w:tab w:val="num" w:pos="1440"/>
        </w:tabs>
        <w:ind w:left="1440" w:hanging="360"/>
      </w:pPr>
      <w:rPr>
        <w:rFonts w:ascii="Times New Roman" w:hAnsi="Times New Roman" w:hint="default"/>
      </w:rPr>
    </w:lvl>
    <w:lvl w:ilvl="2" w:tplc="F718EECE" w:tentative="1">
      <w:start w:val="1"/>
      <w:numFmt w:val="bullet"/>
      <w:lvlText w:val="•"/>
      <w:lvlJc w:val="left"/>
      <w:pPr>
        <w:tabs>
          <w:tab w:val="num" w:pos="2160"/>
        </w:tabs>
        <w:ind w:left="2160" w:hanging="360"/>
      </w:pPr>
      <w:rPr>
        <w:rFonts w:ascii="Times New Roman" w:hAnsi="Times New Roman" w:hint="default"/>
      </w:rPr>
    </w:lvl>
    <w:lvl w:ilvl="3" w:tplc="F03846AA" w:tentative="1">
      <w:start w:val="1"/>
      <w:numFmt w:val="bullet"/>
      <w:lvlText w:val="•"/>
      <w:lvlJc w:val="left"/>
      <w:pPr>
        <w:tabs>
          <w:tab w:val="num" w:pos="2880"/>
        </w:tabs>
        <w:ind w:left="2880" w:hanging="360"/>
      </w:pPr>
      <w:rPr>
        <w:rFonts w:ascii="Times New Roman" w:hAnsi="Times New Roman" w:hint="default"/>
      </w:rPr>
    </w:lvl>
    <w:lvl w:ilvl="4" w:tplc="6BC276FE" w:tentative="1">
      <w:start w:val="1"/>
      <w:numFmt w:val="bullet"/>
      <w:lvlText w:val="•"/>
      <w:lvlJc w:val="left"/>
      <w:pPr>
        <w:tabs>
          <w:tab w:val="num" w:pos="3600"/>
        </w:tabs>
        <w:ind w:left="3600" w:hanging="360"/>
      </w:pPr>
      <w:rPr>
        <w:rFonts w:ascii="Times New Roman" w:hAnsi="Times New Roman" w:hint="default"/>
      </w:rPr>
    </w:lvl>
    <w:lvl w:ilvl="5" w:tplc="6B7E3B94" w:tentative="1">
      <w:start w:val="1"/>
      <w:numFmt w:val="bullet"/>
      <w:lvlText w:val="•"/>
      <w:lvlJc w:val="left"/>
      <w:pPr>
        <w:tabs>
          <w:tab w:val="num" w:pos="4320"/>
        </w:tabs>
        <w:ind w:left="4320" w:hanging="360"/>
      </w:pPr>
      <w:rPr>
        <w:rFonts w:ascii="Times New Roman" w:hAnsi="Times New Roman" w:hint="default"/>
      </w:rPr>
    </w:lvl>
    <w:lvl w:ilvl="6" w:tplc="25DE22D2" w:tentative="1">
      <w:start w:val="1"/>
      <w:numFmt w:val="bullet"/>
      <w:lvlText w:val="•"/>
      <w:lvlJc w:val="left"/>
      <w:pPr>
        <w:tabs>
          <w:tab w:val="num" w:pos="5040"/>
        </w:tabs>
        <w:ind w:left="5040" w:hanging="360"/>
      </w:pPr>
      <w:rPr>
        <w:rFonts w:ascii="Times New Roman" w:hAnsi="Times New Roman" w:hint="default"/>
      </w:rPr>
    </w:lvl>
    <w:lvl w:ilvl="7" w:tplc="4D6A4306" w:tentative="1">
      <w:start w:val="1"/>
      <w:numFmt w:val="bullet"/>
      <w:lvlText w:val="•"/>
      <w:lvlJc w:val="left"/>
      <w:pPr>
        <w:tabs>
          <w:tab w:val="num" w:pos="5760"/>
        </w:tabs>
        <w:ind w:left="5760" w:hanging="360"/>
      </w:pPr>
      <w:rPr>
        <w:rFonts w:ascii="Times New Roman" w:hAnsi="Times New Roman" w:hint="default"/>
      </w:rPr>
    </w:lvl>
    <w:lvl w:ilvl="8" w:tplc="9FF89B0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5F35E39"/>
    <w:multiLevelType w:val="hybridMultilevel"/>
    <w:tmpl w:val="01C4F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E5B2AE9"/>
    <w:multiLevelType w:val="hybridMultilevel"/>
    <w:tmpl w:val="D10E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0"/>
  </w:num>
  <w:num w:numId="5">
    <w:abstractNumId w:val="7"/>
  </w:num>
  <w:num w:numId="6">
    <w:abstractNumId w:val="2"/>
  </w:num>
  <w:num w:numId="7">
    <w:abstractNumId w:val="8"/>
  </w:num>
  <w:num w:numId="8">
    <w:abstractNumId w:val="4"/>
  </w:num>
  <w:num w:numId="9">
    <w:abstractNumId w:val="1"/>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501D10"/>
    <w:rsid w:val="00027BC2"/>
    <w:rsid w:val="00052AD2"/>
    <w:rsid w:val="000670AE"/>
    <w:rsid w:val="000F206F"/>
    <w:rsid w:val="00130852"/>
    <w:rsid w:val="00134E5D"/>
    <w:rsid w:val="0015240C"/>
    <w:rsid w:val="001B1240"/>
    <w:rsid w:val="001F7C67"/>
    <w:rsid w:val="0020332B"/>
    <w:rsid w:val="00214184"/>
    <w:rsid w:val="00216BC4"/>
    <w:rsid w:val="002434DD"/>
    <w:rsid w:val="0027475F"/>
    <w:rsid w:val="002755BC"/>
    <w:rsid w:val="0028135C"/>
    <w:rsid w:val="002C6081"/>
    <w:rsid w:val="002D34FA"/>
    <w:rsid w:val="002F3AB0"/>
    <w:rsid w:val="003034AF"/>
    <w:rsid w:val="00326A42"/>
    <w:rsid w:val="003424D1"/>
    <w:rsid w:val="003768E8"/>
    <w:rsid w:val="003C3F31"/>
    <w:rsid w:val="0040751A"/>
    <w:rsid w:val="0041686C"/>
    <w:rsid w:val="00444DEA"/>
    <w:rsid w:val="00454007"/>
    <w:rsid w:val="00474C83"/>
    <w:rsid w:val="00486BCD"/>
    <w:rsid w:val="00495302"/>
    <w:rsid w:val="004A427A"/>
    <w:rsid w:val="004A633F"/>
    <w:rsid w:val="004D796B"/>
    <w:rsid w:val="004F7324"/>
    <w:rsid w:val="00501D10"/>
    <w:rsid w:val="005378A9"/>
    <w:rsid w:val="00542DC5"/>
    <w:rsid w:val="0055641C"/>
    <w:rsid w:val="00565060"/>
    <w:rsid w:val="00575F6A"/>
    <w:rsid w:val="005A2A95"/>
    <w:rsid w:val="005B35D7"/>
    <w:rsid w:val="005E0690"/>
    <w:rsid w:val="005F729A"/>
    <w:rsid w:val="00627162"/>
    <w:rsid w:val="0064228E"/>
    <w:rsid w:val="006678B0"/>
    <w:rsid w:val="00671742"/>
    <w:rsid w:val="00673F13"/>
    <w:rsid w:val="00720AA7"/>
    <w:rsid w:val="00791366"/>
    <w:rsid w:val="007A3B9A"/>
    <w:rsid w:val="007B339B"/>
    <w:rsid w:val="008D4AB8"/>
    <w:rsid w:val="008F23FC"/>
    <w:rsid w:val="008F6B89"/>
    <w:rsid w:val="009309D2"/>
    <w:rsid w:val="009400D3"/>
    <w:rsid w:val="00950453"/>
    <w:rsid w:val="009C5515"/>
    <w:rsid w:val="009D2D20"/>
    <w:rsid w:val="00A158CD"/>
    <w:rsid w:val="00A35E87"/>
    <w:rsid w:val="00A60E8C"/>
    <w:rsid w:val="00A83591"/>
    <w:rsid w:val="00A9447F"/>
    <w:rsid w:val="00AD078C"/>
    <w:rsid w:val="00AD400B"/>
    <w:rsid w:val="00B24E0B"/>
    <w:rsid w:val="00B5007B"/>
    <w:rsid w:val="00B67532"/>
    <w:rsid w:val="00B73DCE"/>
    <w:rsid w:val="00B8146D"/>
    <w:rsid w:val="00B9214A"/>
    <w:rsid w:val="00BE33FF"/>
    <w:rsid w:val="00BF68AB"/>
    <w:rsid w:val="00C65D81"/>
    <w:rsid w:val="00C669BA"/>
    <w:rsid w:val="00C74F45"/>
    <w:rsid w:val="00C979EE"/>
    <w:rsid w:val="00CB25DE"/>
    <w:rsid w:val="00CC79C2"/>
    <w:rsid w:val="00CE08F2"/>
    <w:rsid w:val="00CF065E"/>
    <w:rsid w:val="00D253A0"/>
    <w:rsid w:val="00DA4C74"/>
    <w:rsid w:val="00DD253A"/>
    <w:rsid w:val="00DE3C72"/>
    <w:rsid w:val="00E0426A"/>
    <w:rsid w:val="00E61FF9"/>
    <w:rsid w:val="00E83128"/>
    <w:rsid w:val="00EB4324"/>
    <w:rsid w:val="00ED3CD4"/>
    <w:rsid w:val="00F11C3C"/>
    <w:rsid w:val="00F40984"/>
    <w:rsid w:val="00F5371C"/>
    <w:rsid w:val="00F57EF2"/>
    <w:rsid w:val="00F754CA"/>
    <w:rsid w:val="00F83434"/>
    <w:rsid w:val="00F84305"/>
    <w:rsid w:val="00F92617"/>
    <w:rsid w:val="00FC09C2"/>
    <w:rsid w:val="00FF64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D10"/>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D10"/>
    <w:pPr>
      <w:tabs>
        <w:tab w:val="center" w:pos="4513"/>
        <w:tab w:val="right" w:pos="9026"/>
      </w:tabs>
      <w:spacing w:after="0" w:line="240" w:lineRule="auto"/>
      <w:jc w:val="left"/>
    </w:pPr>
  </w:style>
  <w:style w:type="character" w:customStyle="1" w:styleId="HeaderChar">
    <w:name w:val="Header Char"/>
    <w:basedOn w:val="DefaultParagraphFont"/>
    <w:link w:val="Header"/>
    <w:uiPriority w:val="99"/>
    <w:rsid w:val="00501D10"/>
  </w:style>
  <w:style w:type="paragraph" w:styleId="Footer">
    <w:name w:val="footer"/>
    <w:basedOn w:val="Normal"/>
    <w:link w:val="FooterChar"/>
    <w:uiPriority w:val="99"/>
    <w:unhideWhenUsed/>
    <w:rsid w:val="00501D10"/>
    <w:pPr>
      <w:tabs>
        <w:tab w:val="center" w:pos="4513"/>
        <w:tab w:val="right" w:pos="9026"/>
      </w:tabs>
      <w:spacing w:after="0" w:line="240" w:lineRule="auto"/>
      <w:jc w:val="left"/>
    </w:pPr>
  </w:style>
  <w:style w:type="character" w:customStyle="1" w:styleId="FooterChar">
    <w:name w:val="Footer Char"/>
    <w:basedOn w:val="DefaultParagraphFont"/>
    <w:link w:val="Footer"/>
    <w:uiPriority w:val="99"/>
    <w:rsid w:val="00501D10"/>
  </w:style>
  <w:style w:type="paragraph" w:styleId="BalloonText">
    <w:name w:val="Balloon Text"/>
    <w:basedOn w:val="Normal"/>
    <w:link w:val="BalloonTextChar"/>
    <w:uiPriority w:val="99"/>
    <w:semiHidden/>
    <w:unhideWhenUsed/>
    <w:rsid w:val="00501D10"/>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D10"/>
    <w:rPr>
      <w:rFonts w:ascii="Tahoma" w:hAnsi="Tahoma" w:cs="Tahoma"/>
      <w:sz w:val="16"/>
      <w:szCs w:val="16"/>
    </w:rPr>
  </w:style>
  <w:style w:type="paragraph" w:styleId="ListParagraph">
    <w:name w:val="List Paragraph"/>
    <w:basedOn w:val="Normal"/>
    <w:uiPriority w:val="34"/>
    <w:qFormat/>
    <w:rsid w:val="00AD400B"/>
    <w:pPr>
      <w:ind w:left="720"/>
    </w:pPr>
  </w:style>
  <w:style w:type="character" w:styleId="CommentReference">
    <w:name w:val="annotation reference"/>
    <w:basedOn w:val="DefaultParagraphFont"/>
    <w:uiPriority w:val="99"/>
    <w:semiHidden/>
    <w:unhideWhenUsed/>
    <w:rsid w:val="0028135C"/>
    <w:rPr>
      <w:sz w:val="16"/>
      <w:szCs w:val="16"/>
    </w:rPr>
  </w:style>
  <w:style w:type="paragraph" w:styleId="CommentText">
    <w:name w:val="annotation text"/>
    <w:basedOn w:val="Normal"/>
    <w:link w:val="CommentTextChar"/>
    <w:uiPriority w:val="99"/>
    <w:semiHidden/>
    <w:unhideWhenUsed/>
    <w:rsid w:val="0028135C"/>
    <w:pPr>
      <w:spacing w:line="240" w:lineRule="auto"/>
    </w:pPr>
    <w:rPr>
      <w:sz w:val="20"/>
      <w:szCs w:val="20"/>
    </w:rPr>
  </w:style>
  <w:style w:type="character" w:customStyle="1" w:styleId="CommentTextChar">
    <w:name w:val="Comment Text Char"/>
    <w:basedOn w:val="DefaultParagraphFont"/>
    <w:link w:val="CommentText"/>
    <w:uiPriority w:val="99"/>
    <w:semiHidden/>
    <w:rsid w:val="0028135C"/>
    <w:rPr>
      <w:sz w:val="20"/>
      <w:szCs w:val="20"/>
    </w:rPr>
  </w:style>
  <w:style w:type="paragraph" w:styleId="CommentSubject">
    <w:name w:val="annotation subject"/>
    <w:basedOn w:val="CommentText"/>
    <w:next w:val="CommentText"/>
    <w:link w:val="CommentSubjectChar"/>
    <w:uiPriority w:val="99"/>
    <w:semiHidden/>
    <w:unhideWhenUsed/>
    <w:rsid w:val="0028135C"/>
    <w:rPr>
      <w:b/>
      <w:bCs/>
    </w:rPr>
  </w:style>
  <w:style w:type="character" w:customStyle="1" w:styleId="CommentSubjectChar">
    <w:name w:val="Comment Subject Char"/>
    <w:basedOn w:val="CommentTextChar"/>
    <w:link w:val="CommentSubject"/>
    <w:uiPriority w:val="99"/>
    <w:semiHidden/>
    <w:rsid w:val="0028135C"/>
    <w:rPr>
      <w:b/>
      <w:bCs/>
      <w:sz w:val="20"/>
      <w:szCs w:val="20"/>
    </w:rPr>
  </w:style>
  <w:style w:type="paragraph" w:styleId="NoSpacing">
    <w:name w:val="No Spacing"/>
    <w:uiPriority w:val="1"/>
    <w:qFormat/>
    <w:rsid w:val="009400D3"/>
    <w:pPr>
      <w:spacing w:after="0" w:line="240" w:lineRule="auto"/>
    </w:pPr>
  </w:style>
  <w:style w:type="character" w:styleId="Hyperlink">
    <w:name w:val="Hyperlink"/>
    <w:basedOn w:val="DefaultParagraphFont"/>
    <w:uiPriority w:val="99"/>
    <w:unhideWhenUsed/>
    <w:rsid w:val="007A3B9A"/>
    <w:rPr>
      <w:color w:val="0000FF" w:themeColor="hyperlink"/>
      <w:u w:val="single"/>
    </w:rPr>
  </w:style>
  <w:style w:type="character" w:styleId="FootnoteReference">
    <w:name w:val="footnote reference"/>
    <w:aliases w:val="Ref. de nota al pie EDEP,pie pddes,BVI fnr,BVI fnr Car Car,BVI fnr Char Car Car Car,BVI fnr Char Car Car Car Char,BVI fnr Car,BVI fnr Car Car Car Car,BVI fnr Char Char,BVI fnr Car Car Char Char,BVI fnr Car Char Cha, BVI fnr Char Char"/>
    <w:uiPriority w:val="99"/>
    <w:rsid w:val="00DA4C74"/>
    <w:rPr>
      <w:vertAlign w:val="superscript"/>
    </w:rPr>
  </w:style>
  <w:style w:type="paragraph" w:styleId="Caption">
    <w:name w:val="caption"/>
    <w:basedOn w:val="Normal"/>
    <w:next w:val="Normal"/>
    <w:uiPriority w:val="35"/>
    <w:unhideWhenUsed/>
    <w:qFormat/>
    <w:rsid w:val="00CB25D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35567">
      <w:bodyDiv w:val="1"/>
      <w:marLeft w:val="0"/>
      <w:marRight w:val="0"/>
      <w:marTop w:val="0"/>
      <w:marBottom w:val="0"/>
      <w:divBdr>
        <w:top w:val="none" w:sz="0" w:space="0" w:color="auto"/>
        <w:left w:val="none" w:sz="0" w:space="0" w:color="auto"/>
        <w:bottom w:val="none" w:sz="0" w:space="0" w:color="auto"/>
        <w:right w:val="none" w:sz="0" w:space="0" w:color="auto"/>
      </w:divBdr>
      <w:divsChild>
        <w:div w:id="1790970447">
          <w:marLeft w:val="547"/>
          <w:marRight w:val="0"/>
          <w:marTop w:val="0"/>
          <w:marBottom w:val="0"/>
          <w:divBdr>
            <w:top w:val="none" w:sz="0" w:space="0" w:color="auto"/>
            <w:left w:val="none" w:sz="0" w:space="0" w:color="auto"/>
            <w:bottom w:val="none" w:sz="0" w:space="0" w:color="auto"/>
            <w:right w:val="none" w:sz="0" w:space="0" w:color="auto"/>
          </w:divBdr>
        </w:div>
      </w:divsChild>
    </w:div>
    <w:div w:id="168638108">
      <w:bodyDiv w:val="1"/>
      <w:marLeft w:val="0"/>
      <w:marRight w:val="0"/>
      <w:marTop w:val="0"/>
      <w:marBottom w:val="0"/>
      <w:divBdr>
        <w:top w:val="none" w:sz="0" w:space="0" w:color="auto"/>
        <w:left w:val="none" w:sz="0" w:space="0" w:color="auto"/>
        <w:bottom w:val="none" w:sz="0" w:space="0" w:color="auto"/>
        <w:right w:val="none" w:sz="0" w:space="0" w:color="auto"/>
      </w:divBdr>
      <w:divsChild>
        <w:div w:id="1725517096">
          <w:marLeft w:val="547"/>
          <w:marRight w:val="0"/>
          <w:marTop w:val="0"/>
          <w:marBottom w:val="0"/>
          <w:divBdr>
            <w:top w:val="none" w:sz="0" w:space="0" w:color="auto"/>
            <w:left w:val="none" w:sz="0" w:space="0" w:color="auto"/>
            <w:bottom w:val="none" w:sz="0" w:space="0" w:color="auto"/>
            <w:right w:val="none" w:sz="0" w:space="0" w:color="auto"/>
          </w:divBdr>
        </w:div>
      </w:divsChild>
    </w:div>
    <w:div w:id="781917911">
      <w:bodyDiv w:val="1"/>
      <w:marLeft w:val="0"/>
      <w:marRight w:val="0"/>
      <w:marTop w:val="0"/>
      <w:marBottom w:val="0"/>
      <w:divBdr>
        <w:top w:val="none" w:sz="0" w:space="0" w:color="auto"/>
        <w:left w:val="none" w:sz="0" w:space="0" w:color="auto"/>
        <w:bottom w:val="none" w:sz="0" w:space="0" w:color="auto"/>
        <w:right w:val="none" w:sz="0" w:space="0" w:color="auto"/>
      </w:divBdr>
    </w:div>
    <w:div w:id="805050690">
      <w:bodyDiv w:val="1"/>
      <w:marLeft w:val="0"/>
      <w:marRight w:val="0"/>
      <w:marTop w:val="0"/>
      <w:marBottom w:val="0"/>
      <w:divBdr>
        <w:top w:val="none" w:sz="0" w:space="0" w:color="auto"/>
        <w:left w:val="none" w:sz="0" w:space="0" w:color="auto"/>
        <w:bottom w:val="none" w:sz="0" w:space="0" w:color="auto"/>
        <w:right w:val="none" w:sz="0" w:space="0" w:color="auto"/>
      </w:divBdr>
      <w:divsChild>
        <w:div w:id="1286275984">
          <w:marLeft w:val="547"/>
          <w:marRight w:val="0"/>
          <w:marTop w:val="0"/>
          <w:marBottom w:val="0"/>
          <w:divBdr>
            <w:top w:val="none" w:sz="0" w:space="0" w:color="auto"/>
            <w:left w:val="none" w:sz="0" w:space="0" w:color="auto"/>
            <w:bottom w:val="none" w:sz="0" w:space="0" w:color="auto"/>
            <w:right w:val="none" w:sz="0" w:space="0" w:color="auto"/>
          </w:divBdr>
        </w:div>
      </w:divsChild>
    </w:div>
    <w:div w:id="1042168730">
      <w:bodyDiv w:val="1"/>
      <w:marLeft w:val="0"/>
      <w:marRight w:val="0"/>
      <w:marTop w:val="0"/>
      <w:marBottom w:val="0"/>
      <w:divBdr>
        <w:top w:val="none" w:sz="0" w:space="0" w:color="auto"/>
        <w:left w:val="none" w:sz="0" w:space="0" w:color="auto"/>
        <w:bottom w:val="none" w:sz="0" w:space="0" w:color="auto"/>
        <w:right w:val="none" w:sz="0" w:space="0" w:color="auto"/>
      </w:divBdr>
    </w:div>
    <w:div w:id="1126199270">
      <w:bodyDiv w:val="1"/>
      <w:marLeft w:val="0"/>
      <w:marRight w:val="0"/>
      <w:marTop w:val="0"/>
      <w:marBottom w:val="0"/>
      <w:divBdr>
        <w:top w:val="none" w:sz="0" w:space="0" w:color="auto"/>
        <w:left w:val="none" w:sz="0" w:space="0" w:color="auto"/>
        <w:bottom w:val="none" w:sz="0" w:space="0" w:color="auto"/>
        <w:right w:val="none" w:sz="0" w:space="0" w:color="auto"/>
      </w:divBdr>
    </w:div>
    <w:div w:id="1510095684">
      <w:bodyDiv w:val="1"/>
      <w:marLeft w:val="0"/>
      <w:marRight w:val="0"/>
      <w:marTop w:val="0"/>
      <w:marBottom w:val="0"/>
      <w:divBdr>
        <w:top w:val="none" w:sz="0" w:space="0" w:color="auto"/>
        <w:left w:val="none" w:sz="0" w:space="0" w:color="auto"/>
        <w:bottom w:val="none" w:sz="0" w:space="0" w:color="auto"/>
        <w:right w:val="none" w:sz="0" w:space="0" w:color="auto"/>
      </w:divBdr>
      <w:divsChild>
        <w:div w:id="1505633912">
          <w:marLeft w:val="547"/>
          <w:marRight w:val="0"/>
          <w:marTop w:val="0"/>
          <w:marBottom w:val="0"/>
          <w:divBdr>
            <w:top w:val="none" w:sz="0" w:space="0" w:color="auto"/>
            <w:left w:val="none" w:sz="0" w:space="0" w:color="auto"/>
            <w:bottom w:val="none" w:sz="0" w:space="0" w:color="auto"/>
            <w:right w:val="none" w:sz="0" w:space="0" w:color="auto"/>
          </w:divBdr>
        </w:div>
      </w:divsChild>
    </w:div>
    <w:div w:id="172100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C81BE-98C3-4FCE-8AAA-15A031DCF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C08CBE0B.dotm</Template>
  <TotalTime>0</TotalTime>
  <Pages>2</Pages>
  <Words>572</Words>
  <Characters>3429</Characters>
  <Application>Microsoft Office Word</Application>
  <DocSecurity>4</DocSecurity>
  <Lines>51</Lines>
  <Paragraphs>17</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FUIRET Lea</dc:creator>
  <cp:lastModifiedBy>SCHIANO LOMORIELLO Roberto</cp:lastModifiedBy>
  <cp:revision>2</cp:revision>
  <dcterms:created xsi:type="dcterms:W3CDTF">2017-10-03T13:12:00Z</dcterms:created>
  <dcterms:modified xsi:type="dcterms:W3CDTF">2017-10-03T13:12:00Z</dcterms:modified>
</cp:coreProperties>
</file>