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1"/>
        <w:jc w:val="center"/>
      </w:pPr>
      <w:r>
        <w:rPr>
          <w:rFonts w:ascii="Calibri" w:hAnsi="Calibri"/>
          <w:b/>
          <w:i w:val="0"/>
        </w:rPr>
        <w:t>Contratos por servicio — Devifly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Un contrato </w:t>
      </w:r>
      <w:r>
        <w:rPr>
          <w:rFonts w:ascii="Calibri" w:hAnsi="Calibri"/>
          <w:b/>
          <w:i w:val="0"/>
        </w:rPr>
        <w:t>autónomo</w:t>
      </w:r>
      <w:r>
        <w:rPr>
          <w:rFonts w:ascii="Calibri" w:hAnsi="Calibri"/>
          <w:b w:val="0"/>
          <w:i w:val="0"/>
        </w:rPr>
        <w:t xml:space="preserve"> por cada servicio del catálogo. Se firman solos, sin contrato marco y sin Anexo A: cada uno incorpora sus propias declaraciones, cláusulas y anexo de alcance con los planes del catálogo ya cargados.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Los contratos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#</w:t>
            </w:r>
          </w:p>
        </w:tc>
        <w:tc>
          <w:tcPr>
            <w:tcW w:type="dxa" w:w="188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Servicio</w:t>
            </w:r>
          </w:p>
        </w:tc>
        <w:tc>
          <w:tcPr>
            <w:tcW w:type="dxa" w:w="188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Contrato</w:t>
            </w:r>
          </w:p>
        </w:tc>
        <w:tc>
          <w:tcPr>
            <w:tcW w:type="dxa" w:w="188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Planes cubiertos</w:t>
            </w:r>
          </w:p>
        </w:tc>
        <w:tc>
          <w:tcPr>
            <w:tcW w:type="dxa" w:w="188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Rango de precio</w:t>
            </w:r>
          </w:p>
        </w:tc>
      </w:tr>
      <w:tr>
        <w:tc>
          <w:tcPr>
            <w:tcW w:type="dxa" w:w="18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01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Invitaciones Digitales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Contrato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Esencial · Pro · Premium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$499 – $1,599</w:t>
            </w:r>
          </w:p>
        </w:tc>
      </w:tr>
      <w:tr>
        <w:tc>
          <w:tcPr>
            <w:tcW w:type="dxa" w:w="18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02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Catálogos Digitales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Contrato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Esencial · Pro · Premium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$1,499 – $6,999</w:t>
            </w:r>
          </w:p>
        </w:tc>
      </w:tr>
      <w:tr>
        <w:tc>
          <w:tcPr>
            <w:tcW w:type="dxa" w:w="18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03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Menús Digitales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Contrato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Esencial · Pro · Premium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$2,499 – $14,999</w:t>
            </w:r>
          </w:p>
        </w:tc>
      </w:tr>
      <w:tr>
        <w:tc>
          <w:tcPr>
            <w:tcW w:type="dxa" w:w="18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04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Landing Pages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Contrato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Esencial · Pro · Premium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$4,999 – $12,999</w:t>
            </w:r>
          </w:p>
        </w:tc>
      </w:tr>
      <w:tr>
        <w:tc>
          <w:tcPr>
            <w:tcW w:type="dxa" w:w="18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05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Salones de Eventos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Contrato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Esencial · Pro · Premium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$5,999 – $16,999</w:t>
            </w:r>
          </w:p>
        </w:tc>
      </w:tr>
      <w:tr>
        <w:tc>
          <w:tcPr>
            <w:tcW w:type="dxa" w:w="18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06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Software a Medida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Contrato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Por alcance</w:t>
            </w:r>
          </w:p>
        </w:tc>
        <w:tc>
          <w:tcPr>
            <w:tcW w:type="dxa" w:w="188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Desde $40,000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Calibri" w:hAnsi="Calibri"/>
          <w:b/>
          <w:i w:val="0"/>
        </w:rPr>
        <w:t>Mantenimiento y hosting</w:t>
      </w:r>
      <w:r>
        <w:rPr>
          <w:rFonts w:ascii="Calibri" w:hAnsi="Calibri"/>
          <w:b w:val="0"/>
          <w:i w:val="0"/>
        </w:rPr>
        <w:t xml:space="preserve"> no tiene contrato aquí: se cubre con el contrato 04 de la carpeta padre, que se firma el día de la entrega y es el que genera el ingreso recurrente.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Cuál usar</w:t>
      </w:r>
    </w:p>
    <w:p>
      <w:pPr>
        <w:jc w:val="both"/>
      </w:pPr>
      <w:r>
        <w:rPr>
          <w:rFonts w:ascii="Consolas" w:hAnsi="Consolas"/>
          <w:b w:val="0"/>
          <w:i w:val="0"/>
        </w:rPr>
        <w:t>`</w:t>
      </w:r>
    </w:p>
    <w:p>
      <w:pPr>
        <w:jc w:val="both"/>
      </w:pPr>
      <w:r>
        <w:rPr>
          <w:rFonts w:ascii="Calibri" w:hAnsi="Calibri"/>
          <w:b w:val="0"/>
          <w:i w:val="0"/>
        </w:rPr>
        <w:t>Cliente nuevo, un solo servicio del catálogo</w:t>
      </w:r>
    </w:p>
    <w:p>
      <w:pPr>
        <w:jc w:val="both"/>
      </w:pPr>
      <w:r>
        <w:rPr>
          <w:rFonts w:ascii="Calibri" w:hAnsi="Calibri"/>
          <w:b w:val="0"/>
          <w:i w:val="0"/>
        </w:rPr>
        <w:t>└─► Contrato por servicio de esta carpeta.   ← el caso común</w:t>
      </w:r>
    </w:p>
    <w:p>
      <w:pPr>
        <w:jc w:val="both"/>
      </w:pPr>
      <w:r>
        <w:rPr>
          <w:rFonts w:ascii="Calibri" w:hAnsi="Calibri"/>
          <w:b w:val="0"/>
          <w:i w:val="0"/>
        </w:rPr>
        <w:t>Cliente que contratará varios proyectos en el tiempo</w:t>
      </w:r>
    </w:p>
    <w:p>
      <w:pPr>
        <w:jc w:val="both"/>
      </w:pPr>
      <w:r>
        <w:rPr>
          <w:rFonts w:ascii="Calibri" w:hAnsi="Calibri"/>
          <w:b w:val="0"/>
          <w:i w:val="0"/>
        </w:rPr>
        <w:t>└─► ../01-contrato-marco-servicios.md  +  ../02-anexo-a-alcance-sow.md</w:t>
      </w:r>
    </w:p>
    <w:p>
      <w:pPr>
        <w:jc w:val="both"/>
      </w:pPr>
      <w:r>
        <w:rPr>
          <w:rFonts w:ascii="Calibri" w:hAnsi="Calibri"/>
          <w:b w:val="0"/>
          <w:i w:val="0"/>
        </w:rPr>
        <w:t>(un solo marco, un Anexo A por proyecto)</w:t>
      </w:r>
    </w:p>
    <w:p>
      <w:pPr>
        <w:jc w:val="both"/>
      </w:pPr>
      <w:r>
        <w:rPr>
          <w:rFonts w:ascii="Calibri" w:hAnsi="Calibri"/>
          <w:b w:val="0"/>
          <w:i w:val="0"/>
        </w:rPr>
        <w:t>Proyecto a medida, alcance no preconfigurado</w:t>
      </w:r>
    </w:p>
    <w:p>
      <w:pPr>
        <w:jc w:val="both"/>
      </w:pPr>
      <w:r>
        <w:rPr>
          <w:rFonts w:ascii="Calibri" w:hAnsi="Calibri"/>
          <w:b w:val="0"/>
          <w:i w:val="0"/>
        </w:rPr>
        <w:t>└─► 06-contrato-software-a-medida.md</w:t>
      </w:r>
    </w:p>
    <w:p>
      <w:pPr>
        <w:jc w:val="both"/>
      </w:pPr>
      <w:r>
        <w:rPr>
          <w:rFonts w:ascii="Calibri" w:hAnsi="Calibri"/>
          <w:b w:val="0"/>
          <w:i w:val="0"/>
        </w:rPr>
        <w:t>Después de entregar cualquiera de los anteriores</w:t>
      </w:r>
    </w:p>
    <w:p>
      <w:pPr>
        <w:jc w:val="both"/>
      </w:pPr>
      <w:r>
        <w:rPr>
          <w:rFonts w:ascii="Calibri" w:hAnsi="Calibri"/>
          <w:b w:val="0"/>
          <w:i w:val="0"/>
        </w:rPr>
        <w:t>└─► ../04-contrato-mantenimiento-hosting.md</w:t>
      </w:r>
    </w:p>
    <w:p>
      <w:pPr>
        <w:jc w:val="both"/>
      </w:pPr>
      <w:r>
        <w:rPr>
          <w:rFonts w:ascii="Consolas" w:hAnsi="Consolas"/>
          <w:b w:val="0"/>
          <w:i w:val="0"/>
        </w:rPr>
        <w:t>`</w:t>
      </w:r>
    </w:p>
    <w:p>
      <w:pPr>
        <w:jc w:val="both"/>
      </w:pPr>
      <w:r>
        <w:rPr>
          <w:rFonts w:ascii="Calibri" w:hAnsi="Calibri"/>
          <w:b w:val="0"/>
          <w:i w:val="0"/>
        </w:rPr>
        <w:t>No firmes ambos esquemas con el mismo cliente para el mismo proyecto: se duplican las obligaciones y se contradicen los plazos.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Qué cambia respecto del contrato marco</w:t>
      </w:r>
    </w:p>
    <w:p>
      <w:pPr>
        <w:jc w:val="both"/>
      </w:pPr>
      <w:r>
        <w:rPr>
          <w:rFonts w:ascii="Calibri" w:hAnsi="Calibri"/>
          <w:b w:val="0"/>
          <w:i w:val="0"/>
        </w:rPr>
        <w:t>Cada contrato por servicio conserva el núcleo legal del marco —propiedad intelectual, confidencialidad, datos personales, cancelación, limitación de responsabilidad, jurisdicción— y agrega las cláusulas que solo tienen sentido en ese servicio: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Servicio</w:t>
            </w:r>
          </w:p>
        </w:tc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Cláusula específica que lo protege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Invitaciones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Fecha del evento como plazo fatal · Vigencia de publicación 3/6/12 meses · Garantía de disponibilidad el día del evento · Datos personales de invitados · Control de acceso sin operación presencial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Catálogos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El catálogo no es e-commerce · Responsabilidad del cliente frente al consumidor · Botón de pago: la cuenta y los fondos son del cliente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Menús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Alérgenos, ingredientes y precios son responsabilidad exclusiva del cliente, con indemnización · Impresión del material con QR no incluida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Landing Pages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Obligación de medios, no de resultados · Sin garantía de conversión ni de posiciones en buscadores · Campañas publicitarias fuera de alcance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Salones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Las reservas no se perfeccionan en el sitio · Sin responsabilidad por sobreventa · Plantilla de contrato PDF sin asesoría jurídica · Botón de anticipos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Software a medida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Sprints con demo y conformidad tácita · Supuestos que sostienen la estimación · Infraestructura de terceros a cargo del cliente · No solicitación de personal</w:t>
            </w:r>
          </w:p>
        </w:tc>
      </w:tr>
    </w:tbl>
    <w:p>
      <w:pPr>
        <w:spacing w:after="40"/>
      </w:pP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Tarifario ya incorporado</w:t>
      </w:r>
    </w:p>
    <w:p>
      <w:pPr>
        <w:jc w:val="both"/>
      </w:pPr>
      <w:r>
        <w:rPr>
          <w:rFonts w:ascii="Calibri" w:hAnsi="Calibri"/>
          <w:b w:val="0"/>
          <w:i w:val="0"/>
        </w:rPr>
        <w:t>Los contratos vienen con estos números cargados. Si cambias uno, cámbialo en los seis.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Concepto</w:t>
            </w:r>
          </w:p>
        </w:tc>
        <w:tc>
          <w:tcPr>
            <w:tcW w:type="dxa" w:w="3135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Tarifa</w:t>
            </w:r>
          </w:p>
        </w:tc>
        <w:tc>
          <w:tcPr>
            <w:tcW w:type="dxa" w:w="3135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Dónde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Orden de cambio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$800 M.N./hora + IVA · mínimo $1,200 por orden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Cláusula de cambios de alcance, contratos 02–06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Producto o platillo adicional cargado por Devifly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$25 M.N. c/u · mínimo 20 productos / 10 platillos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02 y 03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Fotografía adicional procesada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$20 M.N. c/u ($25 en invitaciones)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01, 02, 04, 05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Sección adicional en landing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$1,500 M.N.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04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Variante completa para prueba A/B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$2,500 M.N.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04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Sucursal o ubicación adicional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$2,500 M.N.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03 y 05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Vendedora adicional en catálogo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$1,200 M.N.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02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Segundo idioma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$2,500 – $3,500 M.N. según producto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03, 04, 05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Cargo por urgencia en invitaciones (menos de 10 días)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$499 M.N. · borrador en 48 h hábiles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01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Renovación de la invitación por 6 meses más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$399 M.N.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01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Renovación anual de hosting y dominio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$199 M.N./mes o $1,999 M.N./año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02–05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Calibri" w:hAnsi="Calibri"/>
          <w:b w:val="0"/>
          <w:i w:val="0"/>
        </w:rPr>
        <w:t>Todas están por encima de la tarifa implícita del plan de mantenimiento más caro (</w:t>
      </w:r>
      <w:r>
        <w:rPr>
          <w:rFonts w:ascii="Calibri" w:hAnsi="Calibri"/>
          <w:b/>
          <w:i w:val="0"/>
        </w:rPr>
        <w:t>$175/hora en VIP</w:t>
      </w:r>
      <w:r>
        <w:rPr>
          <w:rFonts w:ascii="Calibri" w:hAnsi="Calibri"/>
          <w:b w:val="0"/>
          <w:i w:val="0"/>
        </w:rPr>
        <w:t>: $3,499 entre 20 horas), que es lo que hace que subir de plan siempre convenga más que pagar excedentes.</w:t>
      </w:r>
    </w:p>
    <w:p>
      <w:pPr>
        <w:jc w:val="both"/>
      </w:pPr>
      <w:r>
        <w:rPr>
          <w:rFonts w:ascii="Calibri" w:hAnsi="Calibri"/>
          <w:b/>
          <w:i w:val="0"/>
        </w:rPr>
        <w:t>Límites de carga inicial incluidos</w:t>
      </w:r>
      <w:r>
        <w:rPr>
          <w:rFonts w:ascii="Calibri" w:hAnsi="Calibri"/>
          <w:b w:val="0"/>
          <w:i w:val="0"/>
        </w:rPr>
        <w:t xml:space="preserve"> (lo que Devifly captura; la capacidad del sistema es la del plan y el cliente sigue dando de alta sin costo):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Producto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Esencial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Pro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Premium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Catálogos — productos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50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150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300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Menús — platillos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30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100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250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Landing — secciones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9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14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Salones — fotografías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20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60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120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Invitaciones — fotografías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15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30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50</w:t>
            </w:r>
          </w:p>
        </w:tc>
      </w:tr>
    </w:tbl>
    <w:p>
      <w:pPr>
        <w:spacing w:after="40"/>
      </w:pP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Antes de enviar cualquiera</w:t>
      </w:r>
    </w:p>
    <w:p>
      <w:pPr>
        <w:spacing w:after="40"/>
        <w:ind w:left="340"/>
      </w:pPr>
      <w:r>
        <w:t xml:space="preserve">1.  </w:t>
      </w:r>
      <w:r>
        <w:rPr>
          <w:rFonts w:ascii="Calibri" w:hAnsi="Calibri"/>
          <w:b/>
          <w:i w:val="0"/>
        </w:rPr>
        <w:t>Busca `[` en el documento.</w:t>
      </w:r>
      <w:r>
        <w:rPr>
          <w:rFonts w:ascii="Calibri" w:hAnsi="Calibri"/>
          <w:b w:val="0"/>
          <w:i w:val="0"/>
        </w:rPr>
        <w:t xml:space="preserve"> Lo que queda entre corchetes es solo información del cliente: nombre, RFC, domicilio, dominio, precio del plan elegido y fecha del evento. Si queda uno sin llenar, no lo mandes.</w:t>
      </w:r>
    </w:p>
    <w:p>
      <w:pPr>
        <w:spacing w:after="40"/>
        <w:ind w:left="340"/>
      </w:pPr>
      <w:r>
        <w:t xml:space="preserve">2.  </w:t>
      </w:r>
      <w:r>
        <w:rPr>
          <w:rFonts w:ascii="Calibri" w:hAnsi="Calibri"/>
          <w:b/>
          <w:i w:val="0"/>
        </w:rPr>
        <w:t>Borra la caja "Cómo usar esta plantilla"</w:t>
      </w:r>
      <w:r>
        <w:rPr>
          <w:rFonts w:ascii="Calibri" w:hAnsi="Calibri"/>
          <w:b w:val="0"/>
          <w:i w:val="0"/>
        </w:rPr>
        <w:t xml:space="preserve"> del inicio. El script de DOCX ya la omite por omisión.</w:t>
      </w:r>
    </w:p>
    <w:p>
      <w:pPr>
        <w:spacing w:after="40"/>
        <w:ind w:left="340"/>
      </w:pPr>
      <w:r>
        <w:t xml:space="preserve">3.  </w:t>
      </w:r>
      <w:r>
        <w:rPr>
          <w:rFonts w:ascii="Calibri" w:hAnsi="Calibri"/>
          <w:b/>
          <w:i w:val="0"/>
        </w:rPr>
        <w:t>Deja solo el plan contratado</w:t>
      </w:r>
      <w:r>
        <w:rPr>
          <w:rFonts w:ascii="Calibri" w:hAnsi="Calibri"/>
          <w:b w:val="0"/>
          <w:i w:val="0"/>
        </w:rPr>
        <w:t xml:space="preserve"> en el Anexo Único y borra los otros dos, junto con las columnas de los planes que no aplican en las tablas de límites.</w:t>
      </w:r>
    </w:p>
    <w:p>
      <w:pPr>
        <w:spacing w:after="40"/>
        <w:ind w:left="340"/>
      </w:pPr>
      <w:r>
        <w:t xml:space="preserve">4.  </w:t>
      </w:r>
      <w:r>
        <w:rPr>
          <w:rFonts w:ascii="Calibri" w:hAnsi="Calibri"/>
          <w:b/>
          <w:i w:val="0"/>
        </w:rPr>
        <w:t>Revisa los límites cuantitativos</w:t>
      </w:r>
      <w:r>
        <w:rPr>
          <w:rFonts w:ascii="Calibri" w:hAnsi="Calibri"/>
          <w:b w:val="0"/>
          <w:i w:val="0"/>
        </w:rPr>
        <w:t xml:space="preserve"> contra lo que realmente vendiste. Vienen con valores por plan, pero si prometiste más en la llamada, cámbialos aquí antes de firmar, no después.</w:t>
      </w:r>
    </w:p>
    <w:p>
      <w:pPr>
        <w:spacing w:after="40"/>
        <w:ind w:left="340"/>
      </w:pPr>
      <w:r>
        <w:t xml:space="preserve">5.  </w:t>
      </w:r>
      <w:r>
        <w:rPr>
          <w:rFonts w:ascii="Calibri" w:hAnsi="Calibri"/>
          <w:b/>
          <w:i w:val="0"/>
        </w:rPr>
        <w:t>Verifica el precio contra `src/data/salesCatalog.js`.</w:t>
      </w:r>
      <w:r>
        <w:rPr>
          <w:rFonts w:ascii="Calibri" w:hAnsi="Calibri"/>
          <w:b w:val="0"/>
          <w:i w:val="0"/>
        </w:rPr>
        <w:t xml:space="preserve"> Si cambiaste precios en el sitio, cámbialos aquí.</w:t>
      </w:r>
    </w:p>
    <w:p>
      <w:pPr>
        <w:spacing w:after="40"/>
        <w:ind w:left="340"/>
      </w:pPr>
      <w:r>
        <w:t xml:space="preserve">6.  </w:t>
      </w:r>
      <w:r>
        <w:rPr>
          <w:rFonts w:ascii="Calibri" w:hAnsi="Calibri"/>
          <w:b/>
          <w:i w:val="0"/>
        </w:rPr>
        <w:t>El lugar de firma viene fijo</w:t>
      </w:r>
      <w:r>
        <w:rPr>
          <w:rFonts w:ascii="Calibri" w:hAnsi="Calibri"/>
          <w:b w:val="0"/>
          <w:i w:val="0"/>
        </w:rPr>
        <w:t xml:space="preserve"> en Naucalpan de Juárez, Estado de México. La fecha se llena a mano al firmar.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Generar los DOCX con membrete</w:t>
      </w:r>
    </w:p>
    <w:p>
      <w:pPr>
        <w:jc w:val="both"/>
      </w:pPr>
      <w:r>
        <w:rPr>
          <w:rFonts w:ascii="Calibri" w:hAnsi="Calibri"/>
          <w:b w:val="0"/>
          <w:i w:val="0"/>
        </w:rPr>
        <w:t>```bash</w:t>
      </w:r>
    </w:p>
    <w:p>
      <w:pPr>
        <w:pStyle w:val="Heading1"/>
        <w:jc w:val="center"/>
      </w:pPr>
      <w:r>
        <w:rPr>
          <w:rFonts w:ascii="Calibri" w:hAnsi="Calibri"/>
          <w:b/>
          <w:i w:val="0"/>
        </w:rPr>
        <w:t>Todos los contratos de esta carpeta</w:t>
      </w:r>
    </w:p>
    <w:p>
      <w:pPr>
        <w:jc w:val="both"/>
      </w:pPr>
      <w:r>
        <w:rPr>
          <w:rFonts w:ascii="Calibri" w:hAnsi="Calibri"/>
          <w:b w:val="0"/>
          <w:i w:val="0"/>
        </w:rPr>
        <w:t>python docs/legal/generar-docx.py docs/legal/servicios/*.md</w:t>
      </w:r>
    </w:p>
    <w:p>
      <w:pPr>
        <w:pStyle w:val="Heading1"/>
        <w:jc w:val="center"/>
      </w:pPr>
      <w:r>
        <w:rPr>
          <w:rFonts w:ascii="Calibri" w:hAnsi="Calibri"/>
          <w:b/>
          <w:i w:val="0"/>
        </w:rPr>
        <w:t>Uno solo</w:t>
      </w:r>
    </w:p>
    <w:p>
      <w:pPr>
        <w:jc w:val="both"/>
      </w:pPr>
      <w:r>
        <w:rPr>
          <w:rFonts w:ascii="Calibri" w:hAnsi="Calibri"/>
          <w:b w:val="0"/>
          <w:i w:val="0"/>
        </w:rPr>
        <w:t>python docs/legal/generar-docx.py docs/legal/servicios/01-contrato-invitaciones-digitales.md</w:t>
      </w:r>
    </w:p>
    <w:p>
      <w:pPr>
        <w:jc w:val="both"/>
      </w:pPr>
      <w:r>
        <w:rPr>
          <w:rFonts w:ascii="Consolas" w:hAnsi="Consolas"/>
          <w:b w:val="0"/>
          <w:i w:val="0"/>
        </w:rPr>
        <w:t>`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Los archivos se escriben en </w:t>
      </w:r>
      <w:r>
        <w:rPr>
          <w:rFonts w:ascii="Consolas" w:hAnsi="Consolas"/>
          <w:b w:val="0"/>
          <w:i w:val="0"/>
        </w:rPr>
        <w:t>docs/legal/servicios/docx/</w:t>
      </w:r>
      <w:r>
        <w:rPr>
          <w:rFonts w:ascii="Calibri" w:hAnsi="Calibri"/>
          <w:b w:val="0"/>
          <w:i w:val="0"/>
        </w:rPr>
        <w:t xml:space="preserve">, con el encabezado y pie de página del membrete de Devifly. Requiere </w:t>
      </w:r>
      <w:r>
        <w:rPr>
          <w:rFonts w:ascii="Consolas" w:hAnsi="Consolas"/>
          <w:b w:val="0"/>
          <w:i w:val="0"/>
        </w:rPr>
        <w:t>python-docx</w:t>
      </w:r>
      <w:r>
        <w:rPr>
          <w:rFonts w:ascii="Calibri" w:hAnsi="Calibri"/>
          <w:b w:val="0"/>
          <w:i w:val="0"/>
        </w:rPr>
        <w:t xml:space="preserve"> (</w:t>
      </w:r>
      <w:r>
        <w:rPr>
          <w:rFonts w:ascii="Consolas" w:hAnsi="Consolas"/>
          <w:b w:val="0"/>
          <w:i w:val="0"/>
        </w:rPr>
        <w:t>pip install python-docx</w:t>
      </w:r>
      <w:r>
        <w:rPr>
          <w:rFonts w:ascii="Calibri" w:hAnsi="Calibri"/>
          <w:b w:val="0"/>
          <w:i w:val="0"/>
        </w:rPr>
        <w:t>).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Correspondencia con las políticas públicas del sitio</w:t>
      </w:r>
    </w:p>
    <w:p>
      <w:pPr>
        <w:jc w:val="both"/>
      </w:pPr>
      <w:r>
        <w:rPr>
          <w:rFonts w:ascii="Calibri" w:hAnsi="Calibri"/>
          <w:b w:val="0"/>
          <w:i w:val="0"/>
        </w:rPr>
        <w:t>Estos contratos son el respaldo privado de lo publicado en devifly.dev. Si cambias uno, revisa el otro.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Cláusula del contrato por servicio</w:t>
            </w:r>
          </w:p>
        </w:tc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Política publicada (</w:t>
            </w:r>
            <w:r>
              <w:rPr>
                <w:rFonts w:ascii="Consolas" w:hAnsi="Consolas"/>
                <w:b/>
                <w:i w:val="0"/>
                <w:sz w:val="19"/>
              </w:rPr>
              <w:t>src/data/legal.js</w:t>
            </w:r>
            <w:r>
              <w:rPr>
                <w:rFonts w:ascii="Calibri" w:hAnsi="Calibri"/>
                <w:b/>
                <w:i w:val="0"/>
                <w:sz w:val="19"/>
              </w:rPr>
              <w:t>)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Precio, plazos, garantía, entrega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sz w:val="19"/>
              </w:rPr>
              <w:t>/legal/terminos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Datos personales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sz w:val="19"/>
              </w:rPr>
              <w:t>/legal/privacidad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Terminación y cancelación · Demo de 21 días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sz w:val="19"/>
              </w:rPr>
              <w:t>/legal/cancelaciones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Propiedad intelectual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sz w:val="19"/>
              </w:rPr>
              <w:t>/legal/propiedad-del-codigo</w:t>
            </w:r>
          </w:p>
        </w:tc>
      </w:tr>
    </w:tbl>
    <w:p>
      <w:pPr>
        <w:spacing w:after="40"/>
      </w:pPr>
    </w:p>
    <w:sectPr>
      <w:headerReference r:id="rId6" w:type="default"/>
      <w:footerReference r:id="rId7" w:type="default"/>
      <w:pgSz w:h="15840" w:w="12240" w:orient="portrait"/>
      <w:pgMar w:bottom="1134" w:top="1417" w:left="1417" w:right="1417" w:header="709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pBdr>
        <w:top w:color="cccccc" w:space="4" w:sz="6" w:val="single"/>
      </w:pBdr>
      <w:jc w:val="center"/>
      <w:rPr/>
    </w:pPr>
    <w:r w:rsidDel="00000000" w:rsidR="00000000" w:rsidRPr="00000000">
      <w:rPr>
        <w:color w:val="999999"/>
        <w:sz w:val="16"/>
        <w:szCs w:val="16"/>
        <w:rtl w:val="0"/>
      </w:rPr>
      <w:t xml:space="preserve">devifly.dev   |   Page </w:t>
    </w:r>
    <w:r w:rsidDel="00000000" w:rsidR="00000000" w:rsidRPr="00000000"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pBdr>
        <w:bottom w:color="1f4e79" w:space="4" w:sz="6" w:val="single"/>
      </w:pBdr>
      <w:rPr/>
    </w:pPr>
    <w:hyperlink r:id="rId1"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Devifly</w:t>
      </w:r>
    </w:hyperlink>
    <w:r w:rsidDel="00000000" w:rsidR="00000000" w:rsidRPr="00000000">
      <w:rPr>
        <w:color w:val="777777"/>
        <w:sz w:val="18"/>
        <w:szCs w:val="18"/>
        <w:rtl w:val="0"/>
      </w:rPr>
      <w:t xml:space="preserve">  |   Web Development Agency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20" w:line="276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Arial" w:eastAsia="Arial" w:hAnsi="Calibri"/>
      <w:b/>
      <w:bCs w:val="1"/>
      <w:i w:val="0"/>
      <w:iCs w:val="0"/>
      <w:smallCaps w:val="0"/>
      <w:strike w:val="0"/>
      <w:color w:val="1F4E79"/>
      <w:sz w:val="34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Calibri" w:cs="Arial" w:eastAsia="Arial" w:hAnsi="Calibri"/>
      <w:b/>
      <w:bCs w:val="1"/>
      <w:i w:val="0"/>
      <w:iCs w:val="0"/>
      <w:smallCaps w:val="0"/>
      <w:strike w:val="0"/>
      <w:color w:val="1F4E79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Calibri" w:cs="Arial" w:eastAsia="Arial" w:hAnsi="Calibri"/>
      <w:b/>
      <w:bCs w:val="0"/>
      <w:i w:val="0"/>
      <w:iCs w:val="0"/>
      <w:smallCaps w:val="0"/>
      <w:strike w:val="0"/>
      <w:color w:val="2E74B5"/>
      <w:sz w:val="23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Calibri" w:cs="Arial" w:eastAsia="Arial" w:hAnsi="Calibri"/>
      <w:b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https://devifly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