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BC87D" w14:textId="77777777" w:rsidR="000A7E51" w:rsidRDefault="000A7E51" w:rsidP="000A7E5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МИНИСТЕРСТВО ЦИФРОВОГО РАЗВИТИЯ, СВЯЗИ И МАССОВЫХ КОММУНИКАЦИЙ</w:t>
      </w:r>
    </w:p>
    <w:p w14:paraId="1D3726FF" w14:textId="77777777" w:rsidR="000A7E51" w:rsidRDefault="000A7E51" w:rsidP="000A7E51">
      <w:pPr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7DFD854" w14:textId="77777777" w:rsidR="000A7E51" w:rsidRDefault="000A7E51" w:rsidP="000A7E51">
      <w:pPr>
        <w:jc w:val="center"/>
        <w:rPr>
          <w:szCs w:val="28"/>
        </w:rPr>
      </w:pPr>
      <w:r>
        <w:rPr>
          <w:szCs w:val="28"/>
        </w:rPr>
        <w:t>«Поволжский государственный университет телекоммуникаций и информатики»</w:t>
      </w:r>
    </w:p>
    <w:p w14:paraId="117B0A9A" w14:textId="77777777" w:rsidR="000A7E51" w:rsidRDefault="000A7E51" w:rsidP="000A7E51">
      <w:pPr>
        <w:rPr>
          <w:szCs w:val="28"/>
        </w:rPr>
      </w:pPr>
    </w:p>
    <w:p w14:paraId="385261A1" w14:textId="77777777" w:rsidR="000A7E51" w:rsidRDefault="000A7E51" w:rsidP="000A7E51">
      <w:pPr>
        <w:jc w:val="center"/>
        <w:rPr>
          <w:szCs w:val="28"/>
        </w:rPr>
      </w:pPr>
      <w:r>
        <w:rPr>
          <w:szCs w:val="28"/>
        </w:rPr>
        <w:t>Факультет кибербезопасности и управления</w:t>
      </w:r>
    </w:p>
    <w:p w14:paraId="4B78335B" w14:textId="4DCDBE85" w:rsidR="000A7E51" w:rsidRDefault="000A7E51" w:rsidP="000A7E51">
      <w:pPr>
        <w:jc w:val="center"/>
        <w:rPr>
          <w:szCs w:val="28"/>
        </w:rPr>
      </w:pPr>
      <w:r>
        <w:rPr>
          <w:szCs w:val="28"/>
        </w:rPr>
        <w:t xml:space="preserve">Кафедра </w:t>
      </w:r>
      <w:r w:rsidR="005D283D">
        <w:rPr>
          <w:szCs w:val="28"/>
        </w:rPr>
        <w:t>программной инженерии</w:t>
      </w:r>
      <w:bookmarkStart w:id="0" w:name="_GoBack"/>
      <w:bookmarkEnd w:id="0"/>
    </w:p>
    <w:p w14:paraId="5D570A0A" w14:textId="77777777" w:rsidR="000A7E51" w:rsidRDefault="000A7E51" w:rsidP="000A7E51">
      <w:pPr>
        <w:rPr>
          <w:szCs w:val="28"/>
        </w:rPr>
      </w:pPr>
    </w:p>
    <w:p w14:paraId="6F29159F" w14:textId="77777777" w:rsidR="000A7E51" w:rsidRDefault="000A7E51" w:rsidP="000A7E51">
      <w:pPr>
        <w:jc w:val="center"/>
        <w:rPr>
          <w:szCs w:val="28"/>
        </w:rPr>
      </w:pPr>
      <w:r>
        <w:rPr>
          <w:szCs w:val="28"/>
        </w:rPr>
        <w:t>ОТЧЕТ</w:t>
      </w:r>
    </w:p>
    <w:p w14:paraId="162F557F" w14:textId="1830141E" w:rsidR="000A7E51" w:rsidRDefault="000A7E51" w:rsidP="000A7E51">
      <w:pPr>
        <w:jc w:val="center"/>
        <w:rPr>
          <w:szCs w:val="28"/>
        </w:rPr>
      </w:pPr>
      <w:r>
        <w:rPr>
          <w:szCs w:val="28"/>
        </w:rPr>
        <w:t>ПО ПРАКТИЧЕСКОЙ РАБОТЕ № 7</w:t>
      </w:r>
    </w:p>
    <w:p w14:paraId="30EFAFCC" w14:textId="77777777" w:rsidR="000A7E51" w:rsidRDefault="000A7E51" w:rsidP="000A7E51">
      <w:pPr>
        <w:jc w:val="center"/>
        <w:rPr>
          <w:szCs w:val="28"/>
        </w:rPr>
      </w:pPr>
      <w:r>
        <w:rPr>
          <w:szCs w:val="28"/>
        </w:rPr>
        <w:t>по дисциплине «Стандартизация, сертификация и управление качеством программного обеспечения»</w:t>
      </w:r>
    </w:p>
    <w:p w14:paraId="7637E399" w14:textId="77777777" w:rsidR="000A7E51" w:rsidRDefault="000A7E51" w:rsidP="000A7E51">
      <w:pPr>
        <w:rPr>
          <w:szCs w:val="28"/>
        </w:rPr>
      </w:pPr>
    </w:p>
    <w:p w14:paraId="59235127" w14:textId="77777777" w:rsidR="000A7E51" w:rsidRDefault="000A7E51" w:rsidP="000A7E51">
      <w:pPr>
        <w:jc w:val="right"/>
        <w:rPr>
          <w:szCs w:val="28"/>
        </w:rPr>
      </w:pPr>
      <w:r>
        <w:rPr>
          <w:szCs w:val="28"/>
        </w:rPr>
        <w:t>ВЫПОЛНИЛ</w:t>
      </w:r>
    </w:p>
    <w:p w14:paraId="3AED26A6" w14:textId="77777777" w:rsidR="000A7E51" w:rsidRDefault="000A7E51" w:rsidP="000A7E51">
      <w:pPr>
        <w:spacing w:after="0"/>
        <w:jc w:val="right"/>
        <w:rPr>
          <w:szCs w:val="28"/>
        </w:rPr>
      </w:pPr>
      <w:r>
        <w:rPr>
          <w:szCs w:val="28"/>
        </w:rPr>
        <w:t xml:space="preserve">Студент </w:t>
      </w:r>
      <w:r>
        <w:rPr>
          <w:szCs w:val="28"/>
          <w:u w:val="single"/>
        </w:rPr>
        <w:t>ПрИ-21</w:t>
      </w:r>
    </w:p>
    <w:p w14:paraId="2C528F9E" w14:textId="2AB62DDB" w:rsidR="00A14923" w:rsidRDefault="00A14923" w:rsidP="00A14923">
      <w:pPr>
        <w:spacing w:after="0"/>
        <w:ind w:left="7788"/>
        <w:jc w:val="both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(группа)</w:t>
      </w:r>
    </w:p>
    <w:p w14:paraId="36F09435" w14:textId="7C9C2119" w:rsidR="000A7E51" w:rsidRDefault="000A7E51" w:rsidP="00A14923">
      <w:pPr>
        <w:spacing w:after="0"/>
        <w:ind w:left="8496"/>
        <w:jc w:val="both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</w:t>
      </w:r>
      <w:r w:rsidR="00A14923">
        <w:rPr>
          <w:szCs w:val="28"/>
          <w:vertAlign w:val="superscript"/>
        </w:rPr>
        <w:t xml:space="preserve">                        </w:t>
      </w:r>
    </w:p>
    <w:p w14:paraId="4672904B" w14:textId="1282B51C" w:rsidR="000A7E51" w:rsidRDefault="00A14923" w:rsidP="000A7E51">
      <w:pPr>
        <w:jc w:val="right"/>
        <w:rPr>
          <w:szCs w:val="28"/>
        </w:rPr>
      </w:pPr>
      <w:r>
        <w:rPr>
          <w:szCs w:val="28"/>
        </w:rPr>
        <w:t>Морзюков Максим Андреевич</w:t>
      </w:r>
    </w:p>
    <w:p w14:paraId="34165B53" w14:textId="77777777" w:rsidR="000A7E51" w:rsidRDefault="000A7E51" w:rsidP="000A7E51">
      <w:pPr>
        <w:jc w:val="right"/>
        <w:rPr>
          <w:szCs w:val="28"/>
        </w:rPr>
      </w:pPr>
      <w:r>
        <w:rPr>
          <w:szCs w:val="28"/>
        </w:rPr>
        <w:t>ПРОВЕРИЛ</w:t>
      </w:r>
    </w:p>
    <w:p w14:paraId="58BA3CF8" w14:textId="77777777" w:rsidR="000A7E51" w:rsidRDefault="000A7E51" w:rsidP="000A7E51">
      <w:pPr>
        <w:spacing w:after="0"/>
        <w:jc w:val="right"/>
        <w:rPr>
          <w:szCs w:val="28"/>
          <w:u w:val="single"/>
        </w:rPr>
      </w:pPr>
      <w:r>
        <w:rPr>
          <w:szCs w:val="28"/>
          <w:u w:val="single"/>
        </w:rPr>
        <w:t>Преподаватель</w:t>
      </w:r>
    </w:p>
    <w:p w14:paraId="7BC1CA4F" w14:textId="77777777" w:rsidR="000A7E51" w:rsidRDefault="000A7E51" w:rsidP="000A7E51">
      <w:pPr>
        <w:spacing w:after="0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(должность)</w:t>
      </w:r>
    </w:p>
    <w:p w14:paraId="547B3F32" w14:textId="77777777" w:rsidR="000A7E51" w:rsidRDefault="000A7E51" w:rsidP="000A7E51">
      <w:pPr>
        <w:spacing w:after="0"/>
        <w:rPr>
          <w:szCs w:val="28"/>
        </w:rPr>
      </w:pPr>
    </w:p>
    <w:p w14:paraId="17343CCE" w14:textId="77777777" w:rsidR="000A7E51" w:rsidRDefault="000A7E51" w:rsidP="000A7E51">
      <w:pPr>
        <w:spacing w:after="0"/>
        <w:jc w:val="right"/>
        <w:rPr>
          <w:szCs w:val="28"/>
          <w:u w:val="single"/>
        </w:rPr>
      </w:pPr>
      <w:r>
        <w:rPr>
          <w:szCs w:val="28"/>
          <w:u w:val="single"/>
        </w:rPr>
        <w:t>Ганенко Ольга Михайловна</w:t>
      </w:r>
    </w:p>
    <w:p w14:paraId="4A0D63EE" w14:textId="77777777" w:rsidR="000A7E51" w:rsidRDefault="000A7E51" w:rsidP="000A7E51">
      <w:pPr>
        <w:spacing w:after="0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                                                                                              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14:paraId="6EB3EE3E" w14:textId="07C7AD06" w:rsidR="00A1597F" w:rsidRDefault="00A1597F" w:rsidP="009C767B">
      <w:pPr>
        <w:ind w:left="360" w:hanging="360"/>
      </w:pPr>
    </w:p>
    <w:p w14:paraId="5629362F" w14:textId="02BB4335" w:rsidR="00A1597F" w:rsidRDefault="00A1597F" w:rsidP="000A7E51"/>
    <w:p w14:paraId="650DE792" w14:textId="77777777" w:rsidR="000A7E51" w:rsidRDefault="000A7E51" w:rsidP="000A7E51"/>
    <w:p w14:paraId="463E115B" w14:textId="562CA9F9" w:rsidR="00A1597F" w:rsidRDefault="00A1597F" w:rsidP="009C767B">
      <w:pPr>
        <w:ind w:left="360" w:hanging="360"/>
      </w:pPr>
    </w:p>
    <w:p w14:paraId="0A818E1A" w14:textId="27352A5A" w:rsidR="00A1597F" w:rsidRDefault="00A1597F" w:rsidP="009C767B">
      <w:pPr>
        <w:ind w:left="360" w:hanging="360"/>
      </w:pPr>
    </w:p>
    <w:p w14:paraId="3DA68D4C" w14:textId="398764D7" w:rsidR="00A1597F" w:rsidRDefault="00A1597F" w:rsidP="009C767B">
      <w:pPr>
        <w:ind w:left="360" w:hanging="360"/>
      </w:pPr>
    </w:p>
    <w:p w14:paraId="1A3469D8" w14:textId="67CD3FDC" w:rsidR="00A1597F" w:rsidRDefault="00A1597F" w:rsidP="009C767B">
      <w:pPr>
        <w:ind w:left="360" w:hanging="360"/>
      </w:pPr>
    </w:p>
    <w:p w14:paraId="4817C432" w14:textId="07807002" w:rsidR="00A1597F" w:rsidRDefault="00A1597F" w:rsidP="009C767B">
      <w:pPr>
        <w:ind w:left="360" w:hanging="360"/>
      </w:pPr>
    </w:p>
    <w:p w14:paraId="74463D23" w14:textId="77777777" w:rsidR="000A7E51" w:rsidRDefault="000A7E51" w:rsidP="000A7E5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 7</w:t>
      </w:r>
    </w:p>
    <w:p w14:paraId="45A46AB1" w14:textId="77777777" w:rsidR="000A7E51" w:rsidRDefault="000A7E51" w:rsidP="000A7E5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Принципы гармонизации стандартов. </w:t>
      </w:r>
    </w:p>
    <w:p w14:paraId="4F9DCF42" w14:textId="77777777" w:rsidR="000A7E51" w:rsidRDefault="000A7E51" w:rsidP="000A7E51">
      <w:pPr>
        <w:pStyle w:val="Default"/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Правила обозначения стандартов</w:t>
      </w:r>
    </w:p>
    <w:p w14:paraId="6555BD8A" w14:textId="77777777" w:rsidR="000A7E51" w:rsidRDefault="000A7E51" w:rsidP="009C767B">
      <w:pPr>
        <w:ind w:left="360" w:hanging="360"/>
      </w:pPr>
    </w:p>
    <w:p w14:paraId="657B1698" w14:textId="7E878BCB" w:rsidR="000A7E51" w:rsidRDefault="000A7E51" w:rsidP="000A7E5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правилами обозначения стандартов, а также со степенью соответствия национальных, межгосударственных и международных стандартов между собой. </w:t>
      </w:r>
    </w:p>
    <w:p w14:paraId="310AED33" w14:textId="53F6DEDF" w:rsidR="000A7E51" w:rsidRDefault="000A7E51" w:rsidP="0027432D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b/>
          <w:bCs/>
          <w:i/>
          <w:iCs/>
          <w:szCs w:val="28"/>
        </w:rPr>
        <w:t>Задание.</w:t>
      </w:r>
      <w:r>
        <w:rPr>
          <w:iCs/>
          <w:szCs w:val="28"/>
        </w:rPr>
        <w:t xml:space="preserve"> </w:t>
      </w:r>
      <w:r>
        <w:rPr>
          <w:rFonts w:cs="Times New Roman"/>
          <w:szCs w:val="28"/>
        </w:rPr>
        <w:t>В результате выполнения практической работы студенты должны узнать определения различных видов стандартов, изучить правила обозначения стандартов и получить навыки распознавания стандарта по его обозначению.</w:t>
      </w:r>
    </w:p>
    <w:p w14:paraId="40D0F9D6" w14:textId="77777777" w:rsidR="0027432D" w:rsidRDefault="0027432D" w:rsidP="0027432D">
      <w:pPr>
        <w:spacing w:after="0" w:line="360" w:lineRule="auto"/>
        <w:ind w:firstLine="709"/>
        <w:rPr>
          <w:rFonts w:cs="Times New Roman"/>
          <w:szCs w:val="28"/>
        </w:rPr>
      </w:pPr>
    </w:p>
    <w:p w14:paraId="7753CC97" w14:textId="45EA422B" w:rsidR="0027432D" w:rsidRDefault="0027432D" w:rsidP="0027432D">
      <w:pPr>
        <w:spacing w:after="0" w:line="360" w:lineRule="auto"/>
        <w:ind w:firstLine="709"/>
        <w:rPr>
          <w:rFonts w:cs="Times New Roman"/>
          <w:b/>
          <w:bCs/>
          <w:i/>
          <w:color w:val="000000"/>
          <w:szCs w:val="28"/>
        </w:rPr>
      </w:pPr>
      <w:r>
        <w:rPr>
          <w:rFonts w:cs="Times New Roman"/>
          <w:b/>
          <w:bCs/>
          <w:i/>
          <w:color w:val="000000"/>
          <w:szCs w:val="28"/>
        </w:rPr>
        <w:t>Задание 1.</w:t>
      </w:r>
    </w:p>
    <w:p w14:paraId="103FEA81" w14:textId="77777777" w:rsidR="0027432D" w:rsidRDefault="0027432D" w:rsidP="0027432D">
      <w:pPr>
        <w:spacing w:after="0" w:line="360" w:lineRule="auto"/>
        <w:ind w:firstLine="709"/>
        <w:jc w:val="right"/>
        <w:rPr>
          <w:rFonts w:cs="Times New Roman"/>
          <w:i/>
          <w:iCs/>
          <w:color w:val="000000"/>
          <w:szCs w:val="28"/>
        </w:rPr>
      </w:pPr>
      <w:r>
        <w:rPr>
          <w:rFonts w:cs="Times New Roman"/>
          <w:i/>
          <w:iCs/>
          <w:color w:val="000000"/>
          <w:szCs w:val="28"/>
        </w:rPr>
        <w:t>Таблица 1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3686"/>
        <w:gridCol w:w="2835"/>
        <w:gridCol w:w="2268"/>
      </w:tblGrid>
      <w:tr w:rsidR="0027432D" w14:paraId="7D48D568" w14:textId="77777777" w:rsidTr="0027432D">
        <w:trPr>
          <w:trHeight w:val="39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1161" w14:textId="77777777" w:rsidR="0027432D" w:rsidRDefault="0027432D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№ п/п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B11F" w14:textId="77777777" w:rsidR="0027432D" w:rsidRDefault="0027432D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Стандарты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C7E7" w14:textId="77777777" w:rsidR="0027432D" w:rsidRDefault="0027432D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Определение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DA5C" w14:textId="77777777" w:rsidR="0027432D" w:rsidRDefault="0027432D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Обозначение</w:t>
            </w:r>
          </w:p>
        </w:tc>
      </w:tr>
      <w:tr w:rsidR="0027432D" w14:paraId="4C0387BC" w14:textId="77777777" w:rsidTr="0027432D">
        <w:trPr>
          <w:trHeight w:val="39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FCC0" w14:textId="77777777" w:rsidR="0027432D" w:rsidRDefault="0027432D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04943" w14:textId="77777777" w:rsidR="0027432D" w:rsidRDefault="002743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Идентичные стандарты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5E64" w14:textId="2CB9715B" w:rsidR="0027432D" w:rsidRDefault="002743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27432D">
              <w:rPr>
                <w:szCs w:val="28"/>
              </w:rPr>
              <w:t>Гармонизированные по форме и по содержанию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EE01" w14:textId="77777777" w:rsidR="0027432D" w:rsidRDefault="002743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</w:p>
        </w:tc>
      </w:tr>
      <w:tr w:rsidR="0027432D" w14:paraId="002FBB42" w14:textId="77777777" w:rsidTr="0027432D">
        <w:trPr>
          <w:trHeight w:val="39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1C4D" w14:textId="77777777" w:rsidR="0027432D" w:rsidRDefault="0027432D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8A1F" w14:textId="77777777" w:rsidR="0027432D" w:rsidRDefault="002743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Модифицированные стандарты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7A10" w14:textId="5E6990C9" w:rsidR="0027432D" w:rsidRDefault="002743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27432D">
              <w:rPr>
                <w:szCs w:val="28"/>
              </w:rPr>
              <w:t>Гармонизированные, имеют технические отклонения и/или различия по форме представления при условии их идентификации и объяснения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977E" w14:textId="77777777" w:rsidR="0027432D" w:rsidRDefault="002743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</w:p>
        </w:tc>
      </w:tr>
      <w:tr w:rsidR="0027432D" w14:paraId="37E0E89C" w14:textId="77777777" w:rsidTr="0027432D">
        <w:trPr>
          <w:trHeight w:val="27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7778" w14:textId="77777777" w:rsidR="0027432D" w:rsidRDefault="0027432D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FBAE" w14:textId="77777777" w:rsidR="0027432D" w:rsidRDefault="002743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Неэквивалентные стандарты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634" w14:textId="41F9BDB3" w:rsidR="0027432D" w:rsidRDefault="002743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27432D">
              <w:rPr>
                <w:szCs w:val="28"/>
              </w:rPr>
              <w:t>Имеют неидентифицированные технические отклонения и/или различия по форме представления, не являются гармонизированными, но могут быть сопоставляемыми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BA7B" w14:textId="77777777" w:rsidR="0027432D" w:rsidRDefault="0027432D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54B57AF4" w14:textId="77777777" w:rsidR="0027432D" w:rsidRPr="0027432D" w:rsidRDefault="0027432D" w:rsidP="0027432D">
      <w:pPr>
        <w:rPr>
          <w:sz w:val="22"/>
        </w:rPr>
      </w:pPr>
    </w:p>
    <w:p w14:paraId="09D76343" w14:textId="7ED104B6" w:rsidR="0027432D" w:rsidRDefault="0027432D" w:rsidP="0027432D">
      <w:pPr>
        <w:pStyle w:val="a3"/>
        <w:ind w:left="360"/>
        <w:rPr>
          <w:sz w:val="22"/>
        </w:rPr>
      </w:pPr>
    </w:p>
    <w:p w14:paraId="03E7F688" w14:textId="6AAFF6B2" w:rsidR="0027432D" w:rsidRDefault="0027432D" w:rsidP="00EC0F1C">
      <w:pPr>
        <w:pStyle w:val="a3"/>
        <w:ind w:left="360"/>
        <w:rPr>
          <w:rFonts w:cs="Times New Roman"/>
          <w:b/>
          <w:bCs/>
          <w:i/>
          <w:color w:val="000000"/>
          <w:szCs w:val="28"/>
        </w:rPr>
      </w:pPr>
      <w:r>
        <w:rPr>
          <w:rFonts w:cs="Times New Roman"/>
          <w:b/>
          <w:bCs/>
          <w:i/>
          <w:color w:val="000000"/>
          <w:szCs w:val="28"/>
        </w:rPr>
        <w:t>Задание 2.</w:t>
      </w:r>
    </w:p>
    <w:p w14:paraId="43C524F5" w14:textId="77777777" w:rsidR="00EC0F1C" w:rsidRDefault="00EC0F1C" w:rsidP="00EC0F1C">
      <w:pPr>
        <w:autoSpaceDE w:val="0"/>
        <w:autoSpaceDN w:val="0"/>
        <w:adjustRightInd w:val="0"/>
        <w:spacing w:after="0"/>
        <w:jc w:val="right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Таблица 2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295"/>
        <w:gridCol w:w="4253"/>
        <w:gridCol w:w="2382"/>
      </w:tblGrid>
      <w:tr w:rsidR="00EC0F1C" w14:paraId="1D89699C" w14:textId="77777777" w:rsidTr="00EC0F1C">
        <w:trPr>
          <w:trHeight w:val="90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9F4B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№ п/п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0DB5" w14:textId="77777777" w:rsidR="00EC0F1C" w:rsidRDefault="00EC0F1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Термин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D68F" w14:textId="77777777" w:rsidR="00EC0F1C" w:rsidRDefault="00EC0F1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Определение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04E4" w14:textId="77777777" w:rsidR="00EC0F1C" w:rsidRDefault="00EC0F1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Документ, которым установлен</w:t>
            </w:r>
          </w:p>
        </w:tc>
      </w:tr>
      <w:tr w:rsidR="00EC0F1C" w14:paraId="412DB71E" w14:textId="77777777" w:rsidTr="00EC0F1C">
        <w:trPr>
          <w:trHeight w:val="396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43CA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661D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Национальный стандарт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362F" w14:textId="7A2EFA29" w:rsidR="00EC0F1C" w:rsidRP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EC0F1C">
              <w:rPr>
                <w:szCs w:val="28"/>
              </w:rPr>
              <w:t xml:space="preserve">Документ по стандартизации, который разработан участниками работ по стандартизации, по результатам экспертизы в техническом комитете (ТК) по стандартизации (или проектном ТК) утвержден федеральным органом исполнительной власти в сфере стандартизации и в котором для всеобщего применения устанавливаются общие характеристики объекта стандартизации, а также правила и общие принципы в отношении объекта стандартизации 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8623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</w:p>
        </w:tc>
      </w:tr>
      <w:tr w:rsidR="00EC0F1C" w14:paraId="12CCF77C" w14:textId="77777777" w:rsidTr="00EC0F1C">
        <w:trPr>
          <w:trHeight w:val="396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E1E7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12E3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Межгосударственный стандарт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829C" w14:textId="7906820C" w:rsidR="00EC0F1C" w:rsidRP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EC0F1C">
              <w:rPr>
                <w:szCs w:val="28"/>
              </w:rPr>
              <w:t>Региональный стандарт, принятый Евразийским советом по стандартизации, метрологии и сертификации и доступный широкому кругу пользователей</w:t>
            </w:r>
            <w:r w:rsidRPr="00EC0F1C">
              <w:rPr>
                <w:szCs w:val="28"/>
              </w:rPr>
              <w:tab/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3CC3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</w:p>
        </w:tc>
      </w:tr>
      <w:tr w:rsidR="00EC0F1C" w14:paraId="5D0D45FE" w14:textId="77777777" w:rsidTr="00EC0F1C">
        <w:trPr>
          <w:trHeight w:val="396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0013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3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C34C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Региональный стандарт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381D" w14:textId="4C423A01" w:rsidR="00EC0F1C" w:rsidRP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EC0F1C">
              <w:rPr>
                <w:szCs w:val="28"/>
              </w:rPr>
              <w:t>Стандарт, принятый региональной организацией по стандартизации и доступный широкому кругу пользователей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93F6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</w:p>
        </w:tc>
      </w:tr>
      <w:tr w:rsidR="00EC0F1C" w14:paraId="5B144E21" w14:textId="77777777" w:rsidTr="00EC0F1C">
        <w:trPr>
          <w:trHeight w:val="396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467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C92B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Стандарт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6A15" w14:textId="48D83555" w:rsidR="00EC0F1C" w:rsidRP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EC0F1C">
              <w:rPr>
                <w:szCs w:val="28"/>
              </w:rPr>
              <w:t xml:space="preserve">Нормативный документ, который разработан на основе консенсуса, принят признанным на соответствующем уровне органом и устанавливает для всеобщего и многократного использования правила, общие принципы или характеристики, касающиеся различных видов деятельности или их результатов, и который направлен на достижение оптимальной степени упорядочения в </w:t>
            </w:r>
            <w:r w:rsidRPr="00EC0F1C">
              <w:rPr>
                <w:szCs w:val="28"/>
              </w:rPr>
              <w:lastRenderedPageBreak/>
              <w:t>определенной области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A44E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</w:p>
        </w:tc>
      </w:tr>
      <w:tr w:rsidR="00EC0F1C" w14:paraId="6B030C27" w14:textId="77777777" w:rsidTr="00EC0F1C">
        <w:trPr>
          <w:trHeight w:val="396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2354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lastRenderedPageBreak/>
              <w:t xml:space="preserve">5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111A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Правила стандартизации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E623" w14:textId="76EFF80D" w:rsidR="00EC0F1C" w:rsidRP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EC0F1C">
              <w:rPr>
                <w:szCs w:val="28"/>
              </w:rPr>
              <w:t>Нормативный документ, устанавливающий обязательные для применения организационно-методические положения, которые дополняют или конкретизируют отдельные положения основополагающего национального стандарта и определяют порядок и методы выполнения работ по стандартизации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C8CC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</w:p>
        </w:tc>
      </w:tr>
      <w:tr w:rsidR="00EC0F1C" w14:paraId="7F5C9CDD" w14:textId="77777777" w:rsidTr="00EC0F1C">
        <w:trPr>
          <w:trHeight w:val="396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3066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992F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Рекомендации по стандартизации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A213" w14:textId="4FA89B33" w:rsidR="00EC0F1C" w:rsidRP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EC0F1C">
              <w:rPr>
                <w:szCs w:val="28"/>
              </w:rPr>
              <w:t xml:space="preserve">Документ, содержащий советы организационно-методического характера, которые касаются проведения работ по стандартизации и способствуют применению основополагающего национального стандарта или содержат положения, которые целесообразно предварительно проверить на практике до их установления в основополагающем национальном стандарте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9270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</w:p>
        </w:tc>
      </w:tr>
      <w:tr w:rsidR="00EC0F1C" w14:paraId="476C82BE" w14:textId="77777777" w:rsidTr="00EC0F1C">
        <w:trPr>
          <w:trHeight w:val="396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C3BF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3ACD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Общероссийский классификатор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77BC" w14:textId="44A65B80" w:rsidR="00EC0F1C" w:rsidRP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EC0F1C">
              <w:rPr>
                <w:szCs w:val="28"/>
              </w:rPr>
              <w:t>Нормативный документ в области стандартизации, распределяющий     технико-экономическую и социальную информацию в соответствии с ее   классификацией (классами, группами, видами и другими группировками)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0FAE" w14:textId="742F3F8C" w:rsidR="00EC0F1C" w:rsidRP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EC0F1C">
              <w:rPr>
                <w:szCs w:val="28"/>
              </w:rPr>
              <w:t xml:space="preserve">Разработанный и принятый в соответствии с Федеральным законом "О техническом регулировании" нормативный документ, устанавливающий систематизированный перечень наименований и кодов объектов классификации и/или классификационных группировок и </w:t>
            </w:r>
            <w:r w:rsidRPr="00EC0F1C">
              <w:rPr>
                <w:szCs w:val="28"/>
              </w:rPr>
              <w:lastRenderedPageBreak/>
              <w:t>принятый на соответствующем уровне стандартизации</w:t>
            </w:r>
          </w:p>
        </w:tc>
      </w:tr>
      <w:tr w:rsidR="00EC0F1C" w14:paraId="1A036EB9" w14:textId="77777777" w:rsidTr="00EC0F1C">
        <w:trPr>
          <w:trHeight w:val="396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8885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lastRenderedPageBreak/>
              <w:t>8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1375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Стандарт организации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51BD" w14:textId="3E5A9BC0" w:rsidR="00EC0F1C" w:rsidRP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  <w:r w:rsidRPr="00EC0F1C">
              <w:rPr>
                <w:szCs w:val="28"/>
              </w:rPr>
              <w:t>Стандарт, утвержденный и применяемый организацией для целей стандартизации, а также для совершенствования производства и обеспечения качества продукции, выполнения работ, оказания услуг, а также для распространения и использования полученных в различных областях знаний результатов исследований (испытаний), измерений и разработок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7828" w14:textId="77777777" w:rsidR="00EC0F1C" w:rsidRDefault="00EC0F1C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143E4BBC" w14:textId="69EC310A" w:rsidR="006760C6" w:rsidRDefault="006760C6" w:rsidP="00EC0F1C">
      <w:pPr>
        <w:rPr>
          <w:rFonts w:cs="Times New Roman"/>
          <w:b/>
          <w:bCs/>
          <w:i/>
          <w:color w:val="000000"/>
          <w:szCs w:val="28"/>
        </w:rPr>
      </w:pPr>
    </w:p>
    <w:p w14:paraId="25223BFA" w14:textId="77777777" w:rsidR="00EC0F1C" w:rsidRDefault="00EC0F1C" w:rsidP="00EC0F1C">
      <w:pPr>
        <w:rPr>
          <w:rFonts w:cs="Times New Roman"/>
          <w:b/>
          <w:bCs/>
          <w:i/>
          <w:color w:val="000000"/>
          <w:szCs w:val="28"/>
        </w:rPr>
      </w:pPr>
    </w:p>
    <w:p w14:paraId="2D2F5964" w14:textId="3525FFDF" w:rsidR="00EC0F1C" w:rsidRPr="00EC0F1C" w:rsidRDefault="00EC0F1C" w:rsidP="00EC0F1C">
      <w:pPr>
        <w:rPr>
          <w:sz w:val="22"/>
        </w:rPr>
      </w:pPr>
      <w:r>
        <w:rPr>
          <w:rFonts w:cs="Times New Roman"/>
          <w:b/>
          <w:i/>
          <w:color w:val="000000"/>
          <w:szCs w:val="28"/>
        </w:rPr>
        <w:t>Задание 3.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08"/>
        <w:gridCol w:w="2801"/>
        <w:gridCol w:w="2430"/>
        <w:gridCol w:w="2271"/>
      </w:tblGrid>
      <w:tr w:rsidR="008558F0" w:rsidRPr="006D34EE" w14:paraId="21BD4808" w14:textId="77777777" w:rsidTr="006D34EE">
        <w:tc>
          <w:tcPr>
            <w:tcW w:w="2032" w:type="dxa"/>
          </w:tcPr>
          <w:p w14:paraId="6D0D5590" w14:textId="14F2D9AA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1.0-2015</w:t>
            </w:r>
          </w:p>
        </w:tc>
        <w:tc>
          <w:tcPr>
            <w:tcW w:w="3291" w:type="dxa"/>
          </w:tcPr>
          <w:p w14:paraId="3398688E" w14:textId="672DE1EE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hd w:val="clear" w:color="auto" w:fill="FFFFFF"/>
              </w:rPr>
              <w:t>Межгосударственная система стандартизации. Основные положения</w:t>
            </w:r>
          </w:p>
        </w:tc>
        <w:tc>
          <w:tcPr>
            <w:tcW w:w="2850" w:type="dxa"/>
          </w:tcPr>
          <w:p w14:paraId="78EFD125" w14:textId="6528CE0F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Национальный стандарт</w:t>
            </w:r>
          </w:p>
        </w:tc>
        <w:tc>
          <w:tcPr>
            <w:tcW w:w="811" w:type="dxa"/>
          </w:tcPr>
          <w:p w14:paraId="2337762C" w14:textId="092CCB2B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стандартизации</w:t>
            </w:r>
          </w:p>
        </w:tc>
      </w:tr>
      <w:tr w:rsidR="008558F0" w:rsidRPr="006D34EE" w14:paraId="7965EAD5" w14:textId="77777777" w:rsidTr="006D34EE">
        <w:tc>
          <w:tcPr>
            <w:tcW w:w="2032" w:type="dxa"/>
          </w:tcPr>
          <w:p w14:paraId="758130C5" w14:textId="790B2669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 xml:space="preserve"> ГОСТ 2.114-2016</w:t>
            </w:r>
          </w:p>
        </w:tc>
        <w:tc>
          <w:tcPr>
            <w:tcW w:w="3291" w:type="dxa"/>
          </w:tcPr>
          <w:p w14:paraId="7838FBE9" w14:textId="34601D58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Единая система конструкторской документации технические условия</w:t>
            </w:r>
          </w:p>
        </w:tc>
        <w:tc>
          <w:tcPr>
            <w:tcW w:w="2850" w:type="dxa"/>
          </w:tcPr>
          <w:p w14:paraId="3D250DB5" w14:textId="52058D8D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Национальный стандарт</w:t>
            </w:r>
          </w:p>
        </w:tc>
        <w:tc>
          <w:tcPr>
            <w:tcW w:w="811" w:type="dxa"/>
          </w:tcPr>
          <w:p w14:paraId="518BC087" w14:textId="75D0991E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конструкторской документации</w:t>
            </w:r>
          </w:p>
        </w:tc>
      </w:tr>
      <w:tr w:rsidR="008558F0" w:rsidRPr="006D34EE" w14:paraId="7CEAE605" w14:textId="77777777" w:rsidTr="006D34EE">
        <w:tc>
          <w:tcPr>
            <w:tcW w:w="2032" w:type="dxa"/>
          </w:tcPr>
          <w:p w14:paraId="55EEEDE1" w14:textId="247E0919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Р 2.601-2019</w:t>
            </w:r>
          </w:p>
        </w:tc>
        <w:tc>
          <w:tcPr>
            <w:tcW w:w="3291" w:type="dxa"/>
          </w:tcPr>
          <w:p w14:paraId="4A28BE5C" w14:textId="3888356D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Единая система конструкторской документации. Эксплуатационные документы. </w:t>
            </w:r>
          </w:p>
        </w:tc>
        <w:tc>
          <w:tcPr>
            <w:tcW w:w="2850" w:type="dxa"/>
          </w:tcPr>
          <w:p w14:paraId="181B9F4C" w14:textId="2F14D918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Национальный стандарт РФ, идентичный одному (нескольким) международному стандарту</w:t>
            </w:r>
          </w:p>
        </w:tc>
        <w:tc>
          <w:tcPr>
            <w:tcW w:w="811" w:type="dxa"/>
          </w:tcPr>
          <w:p w14:paraId="76BAF236" w14:textId="556E981B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конструкторской документации</w:t>
            </w:r>
          </w:p>
        </w:tc>
      </w:tr>
      <w:tr w:rsidR="008558F0" w:rsidRPr="006D34EE" w14:paraId="3E183668" w14:textId="77777777" w:rsidTr="006D34EE">
        <w:tc>
          <w:tcPr>
            <w:tcW w:w="2032" w:type="dxa"/>
          </w:tcPr>
          <w:p w14:paraId="5A8736F1" w14:textId="14B3CD10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EN 354-2019</w:t>
            </w:r>
          </w:p>
        </w:tc>
        <w:tc>
          <w:tcPr>
            <w:tcW w:w="3291" w:type="dxa"/>
          </w:tcPr>
          <w:p w14:paraId="10538F66" w14:textId="4C4A5C05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"Система стандартов безопасности труда. Средства индивидуальной защиты от падения с высоты. Стропы. Общие технические требования. Методы испытаний"</w:t>
            </w:r>
          </w:p>
        </w:tc>
        <w:tc>
          <w:tcPr>
            <w:tcW w:w="2850" w:type="dxa"/>
          </w:tcPr>
          <w:p w14:paraId="70B0F958" w14:textId="07C258CB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Межгосударственный стандарт</w:t>
            </w:r>
          </w:p>
        </w:tc>
        <w:tc>
          <w:tcPr>
            <w:tcW w:w="811" w:type="dxa"/>
          </w:tcPr>
          <w:p w14:paraId="505A9523" w14:textId="7D3EB84C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обеспечения безопасности труда</w:t>
            </w:r>
          </w:p>
        </w:tc>
      </w:tr>
      <w:tr w:rsidR="008558F0" w:rsidRPr="006D34EE" w14:paraId="6FCA8B64" w14:textId="77777777" w:rsidTr="006D34EE">
        <w:tc>
          <w:tcPr>
            <w:tcW w:w="2032" w:type="dxa"/>
          </w:tcPr>
          <w:p w14:paraId="41EC13B1" w14:textId="1687EA6A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Р ИСО/МЭК 33001-2017</w:t>
            </w:r>
          </w:p>
        </w:tc>
        <w:tc>
          <w:tcPr>
            <w:tcW w:w="3291" w:type="dxa"/>
          </w:tcPr>
          <w:p w14:paraId="18BC33F6" w14:textId="3ED970FA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Информационные технологии. Оценка процесса. Понятия и терминология. </w:t>
            </w:r>
          </w:p>
        </w:tc>
        <w:tc>
          <w:tcPr>
            <w:tcW w:w="2850" w:type="dxa"/>
          </w:tcPr>
          <w:p w14:paraId="072222DC" w14:textId="4A251A8F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Национальный стандарт, модифицированный по отношении к одному (нескольким) международному стандарту</w:t>
            </w:r>
          </w:p>
        </w:tc>
        <w:tc>
          <w:tcPr>
            <w:tcW w:w="811" w:type="dxa"/>
          </w:tcPr>
          <w:p w14:paraId="43A01821" w14:textId="60C5DDDE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информационных технологий</w:t>
            </w:r>
          </w:p>
        </w:tc>
      </w:tr>
      <w:tr w:rsidR="008558F0" w:rsidRPr="006D34EE" w14:paraId="16646607" w14:textId="77777777" w:rsidTr="006D34EE">
        <w:trPr>
          <w:trHeight w:val="695"/>
        </w:trPr>
        <w:tc>
          <w:tcPr>
            <w:tcW w:w="2032" w:type="dxa"/>
          </w:tcPr>
          <w:p w14:paraId="485280A0" w14:textId="5D29F5F3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lastRenderedPageBreak/>
              <w:t>ГОСТ Р ИСО/МЭК ТО 9294-93</w:t>
            </w:r>
          </w:p>
        </w:tc>
        <w:tc>
          <w:tcPr>
            <w:tcW w:w="3291" w:type="dxa"/>
          </w:tcPr>
          <w:p w14:paraId="201D595C" w14:textId="36847CBB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"Информационная технология. Руководство по управлению документированием программного обеспечения"</w:t>
            </w:r>
          </w:p>
        </w:tc>
        <w:tc>
          <w:tcPr>
            <w:tcW w:w="2850" w:type="dxa"/>
          </w:tcPr>
          <w:p w14:paraId="20F9F318" w14:textId="66C29BDA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Основополагающий стандарт</w:t>
            </w:r>
          </w:p>
        </w:tc>
        <w:tc>
          <w:tcPr>
            <w:tcW w:w="811" w:type="dxa"/>
          </w:tcPr>
          <w:p w14:paraId="2FEF9CF0" w14:textId="7FEC084B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информационных технологий</w:t>
            </w:r>
          </w:p>
        </w:tc>
      </w:tr>
      <w:tr w:rsidR="008558F0" w:rsidRPr="006D34EE" w14:paraId="53549C35" w14:textId="77777777" w:rsidTr="006D34EE">
        <w:tc>
          <w:tcPr>
            <w:tcW w:w="2032" w:type="dxa"/>
          </w:tcPr>
          <w:p w14:paraId="24AACEEB" w14:textId="67BC7AE9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ПНСТ 644-2022</w:t>
            </w:r>
          </w:p>
        </w:tc>
        <w:tc>
          <w:tcPr>
            <w:tcW w:w="3291" w:type="dxa"/>
          </w:tcPr>
          <w:p w14:paraId="270EA699" w14:textId="77777777" w:rsidR="008558F0" w:rsidRPr="006D34EE" w:rsidRDefault="008558F0" w:rsidP="008558F0">
            <w:pPr>
              <w:pStyle w:val="headertext"/>
              <w:shd w:val="clear" w:color="auto" w:fill="FFFFFF"/>
              <w:spacing w:before="0" w:beforeAutospacing="0" w:after="240" w:afterAutospacing="0"/>
              <w:jc w:val="center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t>Информационные технологии</w:t>
            </w:r>
          </w:p>
          <w:p w14:paraId="7819F93F" w14:textId="77777777" w:rsidR="008558F0" w:rsidRPr="006D34EE" w:rsidRDefault="008558F0" w:rsidP="008558F0">
            <w:pPr>
              <w:pStyle w:val="headertext"/>
              <w:shd w:val="clear" w:color="auto" w:fill="FFFFFF"/>
              <w:spacing w:before="0" w:beforeAutospacing="0" w:after="240" w:afterAutospacing="0"/>
              <w:jc w:val="center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t>ИНТЕРНЕТ ВЕЩЕЙ</w:t>
            </w:r>
          </w:p>
          <w:p w14:paraId="177BD289" w14:textId="77777777" w:rsidR="008558F0" w:rsidRPr="006D34EE" w:rsidRDefault="008558F0" w:rsidP="008558F0">
            <w:pPr>
              <w:pStyle w:val="headertext"/>
              <w:shd w:val="clear" w:color="auto" w:fill="FFFFFF"/>
              <w:spacing w:before="0" w:beforeAutospacing="0" w:after="240" w:afterAutospacing="0"/>
              <w:jc w:val="center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t>Совместимость систем интернета вещей</w:t>
            </w:r>
          </w:p>
          <w:p w14:paraId="044893EF" w14:textId="77777777" w:rsidR="008558F0" w:rsidRPr="006D34EE" w:rsidRDefault="008558F0" w:rsidP="008558F0">
            <w:pPr>
              <w:pStyle w:val="headertext"/>
              <w:shd w:val="clear" w:color="auto" w:fill="FFFFFF"/>
              <w:spacing w:before="0" w:beforeAutospacing="0" w:after="240" w:afterAutospacing="0"/>
              <w:jc w:val="center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t>Часть 1</w:t>
            </w:r>
          </w:p>
          <w:p w14:paraId="6F5FFA35" w14:textId="77777777" w:rsidR="008558F0" w:rsidRPr="006D34EE" w:rsidRDefault="008558F0" w:rsidP="008558F0">
            <w:pPr>
              <w:pStyle w:val="headertext"/>
              <w:shd w:val="clear" w:color="auto" w:fill="FFFFFF"/>
              <w:spacing w:before="0" w:beforeAutospacing="0" w:after="240" w:afterAutospacing="0"/>
              <w:jc w:val="center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t>Структура</w:t>
            </w:r>
          </w:p>
          <w:p w14:paraId="47D0E5F0" w14:textId="77777777" w:rsidR="008558F0" w:rsidRPr="006D34EE" w:rsidRDefault="008558F0" w:rsidP="006760C6">
            <w:pPr>
              <w:rPr>
                <w:sz w:val="22"/>
              </w:rPr>
            </w:pPr>
          </w:p>
        </w:tc>
        <w:tc>
          <w:tcPr>
            <w:tcW w:w="2850" w:type="dxa"/>
          </w:tcPr>
          <w:p w14:paraId="3411F67D" w14:textId="75733652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Предварительный национальный стандарт РФ</w:t>
            </w:r>
          </w:p>
        </w:tc>
        <w:tc>
          <w:tcPr>
            <w:tcW w:w="811" w:type="dxa"/>
          </w:tcPr>
          <w:p w14:paraId="3029EC22" w14:textId="570D4C21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 xml:space="preserve">В сфере информационных технологий </w:t>
            </w:r>
          </w:p>
        </w:tc>
      </w:tr>
      <w:tr w:rsidR="008558F0" w:rsidRPr="006D34EE" w14:paraId="1762E4B7" w14:textId="77777777" w:rsidTr="006D34EE">
        <w:tc>
          <w:tcPr>
            <w:tcW w:w="2032" w:type="dxa"/>
          </w:tcPr>
          <w:p w14:paraId="6FF97E82" w14:textId="1CBAFCA1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1.1-2002</w:t>
            </w:r>
          </w:p>
        </w:tc>
        <w:tc>
          <w:tcPr>
            <w:tcW w:w="3291" w:type="dxa"/>
          </w:tcPr>
          <w:p w14:paraId="7E49C2E7" w14:textId="77777777" w:rsidR="008558F0" w:rsidRPr="006D34EE" w:rsidRDefault="008558F0" w:rsidP="008558F0">
            <w:pPr>
              <w:pStyle w:val="headertext"/>
              <w:shd w:val="clear" w:color="auto" w:fill="FFFFFF"/>
              <w:spacing w:before="0" w:beforeAutospacing="0" w:after="240" w:afterAutospacing="0"/>
              <w:jc w:val="center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t>Межгосударственная система стандартизации</w:t>
            </w:r>
          </w:p>
          <w:p w14:paraId="6EC71E09" w14:textId="77777777" w:rsidR="008558F0" w:rsidRPr="006D34EE" w:rsidRDefault="008558F0" w:rsidP="008558F0">
            <w:pPr>
              <w:pStyle w:val="headertext"/>
              <w:shd w:val="clear" w:color="auto" w:fill="FFFFFF"/>
              <w:spacing w:before="0" w:beforeAutospacing="0" w:after="240" w:afterAutospacing="0"/>
              <w:jc w:val="center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t>     </w:t>
            </w: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br/>
              <w:t>Термины и определения</w:t>
            </w:r>
          </w:p>
          <w:p w14:paraId="51773896" w14:textId="77777777" w:rsidR="008558F0" w:rsidRPr="006D34EE" w:rsidRDefault="008558F0" w:rsidP="006760C6">
            <w:pPr>
              <w:rPr>
                <w:sz w:val="22"/>
              </w:rPr>
            </w:pPr>
          </w:p>
        </w:tc>
        <w:tc>
          <w:tcPr>
            <w:tcW w:w="2850" w:type="dxa"/>
          </w:tcPr>
          <w:p w14:paraId="65C2B9F7" w14:textId="7DB2D47F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Национальный стандарт</w:t>
            </w:r>
          </w:p>
        </w:tc>
        <w:tc>
          <w:tcPr>
            <w:tcW w:w="811" w:type="dxa"/>
          </w:tcPr>
          <w:p w14:paraId="7A653303" w14:textId="463EA91E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стандартизации</w:t>
            </w:r>
          </w:p>
        </w:tc>
      </w:tr>
      <w:tr w:rsidR="008558F0" w:rsidRPr="006D34EE" w14:paraId="715F329F" w14:textId="77777777" w:rsidTr="006D34EE">
        <w:tc>
          <w:tcPr>
            <w:tcW w:w="2032" w:type="dxa"/>
          </w:tcPr>
          <w:p w14:paraId="47ED063D" w14:textId="483B31A4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СТО НОСТРОЙ 8.1.1-2019</w:t>
            </w:r>
          </w:p>
        </w:tc>
        <w:tc>
          <w:tcPr>
            <w:tcW w:w="3291" w:type="dxa"/>
          </w:tcPr>
          <w:p w14:paraId="6B15301E" w14:textId="6542C97D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«Системы управления охраной труда в строительных организациях. Порядок создания и внедрения» </w:t>
            </w:r>
          </w:p>
        </w:tc>
        <w:tc>
          <w:tcPr>
            <w:tcW w:w="2850" w:type="dxa"/>
          </w:tcPr>
          <w:p w14:paraId="26E3E690" w14:textId="3F492E1F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Стандарт организации</w:t>
            </w:r>
          </w:p>
        </w:tc>
        <w:tc>
          <w:tcPr>
            <w:tcW w:w="811" w:type="dxa"/>
          </w:tcPr>
          <w:p w14:paraId="1010D8F0" w14:textId="1D258159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охраны труда</w:t>
            </w:r>
          </w:p>
        </w:tc>
      </w:tr>
      <w:tr w:rsidR="008558F0" w:rsidRPr="006D34EE" w14:paraId="1818498E" w14:textId="77777777" w:rsidTr="006D34EE">
        <w:tc>
          <w:tcPr>
            <w:tcW w:w="2032" w:type="dxa"/>
          </w:tcPr>
          <w:p w14:paraId="6C25E9E2" w14:textId="60B938FB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Р ЕН ИСО 20345-2011</w:t>
            </w:r>
          </w:p>
        </w:tc>
        <w:tc>
          <w:tcPr>
            <w:tcW w:w="3291" w:type="dxa"/>
          </w:tcPr>
          <w:p w14:paraId="058A6124" w14:textId="23304C94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Национальный стандарт Российской Федерации. Система стандартов безопасности труда. Средства индивидуальной защиты ног. Обувь защитная Технические требования.</w:t>
            </w:r>
          </w:p>
        </w:tc>
        <w:tc>
          <w:tcPr>
            <w:tcW w:w="2850" w:type="dxa"/>
          </w:tcPr>
          <w:p w14:paraId="28BD540F" w14:textId="611FF992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Национальный стандарт РФ, идентичный одному (нескольким) международному стандарту</w:t>
            </w:r>
          </w:p>
        </w:tc>
        <w:tc>
          <w:tcPr>
            <w:tcW w:w="811" w:type="dxa"/>
          </w:tcPr>
          <w:p w14:paraId="024E7CD9" w14:textId="6F9D35CC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безопасности труда</w:t>
            </w:r>
          </w:p>
        </w:tc>
      </w:tr>
      <w:tr w:rsidR="008558F0" w:rsidRPr="006D34EE" w14:paraId="17B683A0" w14:textId="77777777" w:rsidTr="006D34EE">
        <w:tc>
          <w:tcPr>
            <w:tcW w:w="2032" w:type="dxa"/>
          </w:tcPr>
          <w:p w14:paraId="76CA9351" w14:textId="6D17DEE9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30012.1-2002 (МЭК 60051-1-97)</w:t>
            </w:r>
          </w:p>
        </w:tc>
        <w:tc>
          <w:tcPr>
            <w:tcW w:w="3291" w:type="dxa"/>
          </w:tcPr>
          <w:p w14:paraId="54828D40" w14:textId="36CC888E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"Приборы аналоговые показывающие электроизмерительные прямого действия и вспомогательные части к ним. Часть 1. Определения и основные требования, общие для всех частей"</w:t>
            </w:r>
          </w:p>
        </w:tc>
        <w:tc>
          <w:tcPr>
            <w:tcW w:w="2850" w:type="dxa"/>
          </w:tcPr>
          <w:p w14:paraId="2F71AFC9" w14:textId="2CD7E0AA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Межгосударственный стандарт</w:t>
            </w:r>
          </w:p>
        </w:tc>
        <w:tc>
          <w:tcPr>
            <w:tcW w:w="811" w:type="dxa"/>
          </w:tcPr>
          <w:p w14:paraId="37717C33" w14:textId="45E2F738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электрики</w:t>
            </w:r>
          </w:p>
        </w:tc>
      </w:tr>
      <w:tr w:rsidR="008558F0" w:rsidRPr="006D34EE" w14:paraId="54E79073" w14:textId="77777777" w:rsidTr="006D34EE">
        <w:tc>
          <w:tcPr>
            <w:tcW w:w="2032" w:type="dxa"/>
          </w:tcPr>
          <w:p w14:paraId="4FE45575" w14:textId="5E1D2922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Р 56713-2015 (ISO/IEC/IEEE 15289:2011)</w:t>
            </w:r>
          </w:p>
        </w:tc>
        <w:tc>
          <w:tcPr>
            <w:tcW w:w="3291" w:type="dxa"/>
          </w:tcPr>
          <w:p w14:paraId="05AF5C86" w14:textId="6FF3266F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Системная и программная инженерия. Содержание информационных продуктов процесса жизненного цикла систем и программного обеспечения </w:t>
            </w: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lastRenderedPageBreak/>
              <w:t>(документация).</w:t>
            </w:r>
          </w:p>
        </w:tc>
        <w:tc>
          <w:tcPr>
            <w:tcW w:w="2850" w:type="dxa"/>
          </w:tcPr>
          <w:p w14:paraId="337D2D30" w14:textId="101E3402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lastRenderedPageBreak/>
              <w:t>Национальный стандарт РФ, идентичный одному (нескольким) международному стандарту</w:t>
            </w:r>
          </w:p>
        </w:tc>
        <w:tc>
          <w:tcPr>
            <w:tcW w:w="811" w:type="dxa"/>
          </w:tcPr>
          <w:p w14:paraId="643B603A" w14:textId="16DA36B1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программной инженерии</w:t>
            </w:r>
          </w:p>
        </w:tc>
      </w:tr>
      <w:tr w:rsidR="008558F0" w:rsidRPr="006D34EE" w14:paraId="6D9EDAB5" w14:textId="77777777" w:rsidTr="006D34EE">
        <w:tc>
          <w:tcPr>
            <w:tcW w:w="2032" w:type="dxa"/>
          </w:tcPr>
          <w:p w14:paraId="529D5D86" w14:textId="22F14D8B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lastRenderedPageBreak/>
              <w:t>СТО РЖД 19.002-2017</w:t>
            </w:r>
          </w:p>
        </w:tc>
        <w:tc>
          <w:tcPr>
            <w:tcW w:w="3291" w:type="dxa"/>
          </w:tcPr>
          <w:p w14:paraId="7A19BE09" w14:textId="47E6A51A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Системы и устройства железнодорожной автоматики и телемеханики. Порядок ввода в эксплуатацию".</w:t>
            </w:r>
          </w:p>
        </w:tc>
        <w:tc>
          <w:tcPr>
            <w:tcW w:w="2850" w:type="dxa"/>
          </w:tcPr>
          <w:p w14:paraId="489C4FBD" w14:textId="2A25D940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Стандарт организации</w:t>
            </w:r>
          </w:p>
        </w:tc>
        <w:tc>
          <w:tcPr>
            <w:tcW w:w="811" w:type="dxa"/>
          </w:tcPr>
          <w:p w14:paraId="2FABD1DD" w14:textId="37885A62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железнодорожной автоматики и телемеханики</w:t>
            </w:r>
          </w:p>
        </w:tc>
      </w:tr>
      <w:tr w:rsidR="008558F0" w:rsidRPr="006D34EE" w14:paraId="1CB20823" w14:textId="77777777" w:rsidTr="006D34EE">
        <w:tc>
          <w:tcPr>
            <w:tcW w:w="2032" w:type="dxa"/>
          </w:tcPr>
          <w:p w14:paraId="02394047" w14:textId="057199BA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Р ИСО/МЭК 25021-2014</w:t>
            </w:r>
          </w:p>
        </w:tc>
        <w:tc>
          <w:tcPr>
            <w:tcW w:w="3291" w:type="dxa"/>
          </w:tcPr>
          <w:p w14:paraId="69639445" w14:textId="6C976B56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Национальный стандарт Российской Федерации. Информационные технологии. Системная и программная инженерия. Требования и оценка качества систем и программного обеспечения (SQuaRE). Элементы показателя качества</w:t>
            </w:r>
          </w:p>
        </w:tc>
        <w:tc>
          <w:tcPr>
            <w:tcW w:w="2850" w:type="dxa"/>
          </w:tcPr>
          <w:p w14:paraId="2C3C08EA" w14:textId="4DEE419D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Национальный стандарт РФ, идентичный одному (нескольким) международному стандарту</w:t>
            </w:r>
          </w:p>
        </w:tc>
        <w:tc>
          <w:tcPr>
            <w:tcW w:w="811" w:type="dxa"/>
          </w:tcPr>
          <w:p w14:paraId="162ECE6E" w14:textId="6DC708C4" w:rsidR="008558F0" w:rsidRPr="006D34EE" w:rsidRDefault="00A1597F" w:rsidP="006760C6">
            <w:pPr>
              <w:rPr>
                <w:sz w:val="22"/>
              </w:rPr>
            </w:pPr>
            <w:r>
              <w:rPr>
                <w:sz w:val="22"/>
              </w:rPr>
              <w:t>В сфере информационных технологий</w:t>
            </w:r>
          </w:p>
        </w:tc>
      </w:tr>
      <w:tr w:rsidR="008558F0" w:rsidRPr="006D34EE" w14:paraId="68F11036" w14:textId="77777777" w:rsidTr="006D34EE">
        <w:tc>
          <w:tcPr>
            <w:tcW w:w="2032" w:type="dxa"/>
          </w:tcPr>
          <w:p w14:paraId="74EEE6B3" w14:textId="72DCED03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Р 56546-2015</w:t>
            </w:r>
          </w:p>
        </w:tc>
        <w:tc>
          <w:tcPr>
            <w:tcW w:w="3291" w:type="dxa"/>
          </w:tcPr>
          <w:p w14:paraId="0C1565E1" w14:textId="7332EED3" w:rsidR="008558F0" w:rsidRPr="006D34EE" w:rsidRDefault="003B2DB4" w:rsidP="006760C6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"Защита информации. Уязвимости информационных систем. Классификация уязвимостей информационных систем"</w:t>
            </w:r>
          </w:p>
        </w:tc>
        <w:tc>
          <w:tcPr>
            <w:tcW w:w="2850" w:type="dxa"/>
          </w:tcPr>
          <w:p w14:paraId="2BF21E2A" w14:textId="153BA563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Национальный стандарт РФ, идентичный одному (нескольким) международному стандарту</w:t>
            </w:r>
          </w:p>
        </w:tc>
        <w:tc>
          <w:tcPr>
            <w:tcW w:w="811" w:type="dxa"/>
          </w:tcPr>
          <w:p w14:paraId="027BF84B" w14:textId="06DC74EA" w:rsidR="008558F0" w:rsidRPr="006D34EE" w:rsidRDefault="006D34EE" w:rsidP="006760C6">
            <w:pPr>
              <w:rPr>
                <w:sz w:val="22"/>
              </w:rPr>
            </w:pPr>
            <w:r>
              <w:rPr>
                <w:sz w:val="22"/>
              </w:rPr>
              <w:t>Применяется в сфере защиты информации</w:t>
            </w:r>
          </w:p>
        </w:tc>
      </w:tr>
      <w:tr w:rsidR="008558F0" w:rsidRPr="006D34EE" w14:paraId="2D8FAD77" w14:textId="77777777" w:rsidTr="006D34EE">
        <w:trPr>
          <w:trHeight w:val="1550"/>
        </w:trPr>
        <w:tc>
          <w:tcPr>
            <w:tcW w:w="2032" w:type="dxa"/>
          </w:tcPr>
          <w:p w14:paraId="0307E5F4" w14:textId="126271ED" w:rsidR="008558F0" w:rsidRPr="006D34EE" w:rsidRDefault="008558F0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ГОСТ ISO/IEC 15424-2018</w:t>
            </w:r>
          </w:p>
        </w:tc>
        <w:tc>
          <w:tcPr>
            <w:tcW w:w="3291" w:type="dxa"/>
          </w:tcPr>
          <w:p w14:paraId="17C3DC40" w14:textId="77777777" w:rsidR="003B2DB4" w:rsidRPr="006D34EE" w:rsidRDefault="003B2DB4" w:rsidP="003B2DB4">
            <w:pPr>
              <w:pStyle w:val="headertext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t>Информационные технологии</w:t>
            </w:r>
          </w:p>
          <w:p w14:paraId="4FE541BD" w14:textId="77777777" w:rsidR="003B2DB4" w:rsidRPr="006D34EE" w:rsidRDefault="003B2DB4" w:rsidP="003B2DB4">
            <w:pPr>
              <w:pStyle w:val="headertext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t>ТЕХНОЛОГИИ АВТОМАТИЧЕСКОЙ ИДЕНТИФИКАЦИИ И СБОРА ДАННЫХ</w:t>
            </w:r>
          </w:p>
          <w:p w14:paraId="610D6F32" w14:textId="7A9D0B56" w:rsidR="008558F0" w:rsidRPr="006D34EE" w:rsidRDefault="003B2DB4" w:rsidP="003B2DB4">
            <w:pPr>
              <w:pStyle w:val="headertext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zCs w:val="22"/>
              </w:rPr>
              <w:t>Идентификаторы носителей данных (включая идентификаторы символик)</w:t>
            </w:r>
          </w:p>
        </w:tc>
        <w:tc>
          <w:tcPr>
            <w:tcW w:w="2850" w:type="dxa"/>
          </w:tcPr>
          <w:p w14:paraId="5B6FBBCA" w14:textId="4FF2453C" w:rsidR="008558F0" w:rsidRPr="006D34EE" w:rsidRDefault="006D34EE" w:rsidP="006760C6">
            <w:pPr>
              <w:rPr>
                <w:sz w:val="22"/>
              </w:rPr>
            </w:pPr>
            <w:r w:rsidRPr="006D34EE">
              <w:rPr>
                <w:sz w:val="22"/>
              </w:rPr>
              <w:t>Межгосударственный стандарт</w:t>
            </w:r>
          </w:p>
        </w:tc>
        <w:tc>
          <w:tcPr>
            <w:tcW w:w="811" w:type="dxa"/>
          </w:tcPr>
          <w:p w14:paraId="68841111" w14:textId="02B76F3F" w:rsidR="008558F0" w:rsidRPr="006D34EE" w:rsidRDefault="006D34EE" w:rsidP="006760C6">
            <w:pPr>
              <w:rPr>
                <w:sz w:val="22"/>
              </w:rPr>
            </w:pPr>
            <w:r>
              <w:rPr>
                <w:sz w:val="22"/>
              </w:rPr>
              <w:t>Применяется для идентификации и сбора данных</w:t>
            </w:r>
          </w:p>
        </w:tc>
      </w:tr>
      <w:tr w:rsidR="006D34EE" w:rsidRPr="006D34EE" w14:paraId="1D87F556" w14:textId="77777777" w:rsidTr="006D34EE">
        <w:tc>
          <w:tcPr>
            <w:tcW w:w="2032" w:type="dxa"/>
          </w:tcPr>
          <w:p w14:paraId="7BFE8478" w14:textId="6AA83364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sz w:val="22"/>
              </w:rPr>
              <w:t>EN 576</w:t>
            </w:r>
          </w:p>
        </w:tc>
        <w:tc>
          <w:tcPr>
            <w:tcW w:w="3291" w:type="dxa"/>
          </w:tcPr>
          <w:p w14:paraId="6E2CF26B" w14:textId="72C5E5FF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Алюминий и алюминиевые сплавы. Алюминиевые слитки из нелегированного алюминия, предназначенные для переплавки. Технические характеристики.</w:t>
            </w:r>
          </w:p>
        </w:tc>
        <w:tc>
          <w:tcPr>
            <w:tcW w:w="2850" w:type="dxa"/>
          </w:tcPr>
          <w:p w14:paraId="4D5CD267" w14:textId="0653DBAA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sz w:val="22"/>
              </w:rPr>
              <w:t>Межгосударственный стандарт</w:t>
            </w:r>
          </w:p>
        </w:tc>
        <w:tc>
          <w:tcPr>
            <w:tcW w:w="811" w:type="dxa"/>
          </w:tcPr>
          <w:p w14:paraId="7D00AA08" w14:textId="2C8C49DB" w:rsidR="006D34EE" w:rsidRPr="006D34EE" w:rsidRDefault="006D34EE" w:rsidP="006D34EE">
            <w:pPr>
              <w:rPr>
                <w:sz w:val="22"/>
              </w:rPr>
            </w:pPr>
            <w:r>
              <w:rPr>
                <w:sz w:val="22"/>
              </w:rPr>
              <w:t xml:space="preserve">Применяется к сплавам </w:t>
            </w:r>
          </w:p>
        </w:tc>
      </w:tr>
      <w:tr w:rsidR="006D34EE" w:rsidRPr="006D34EE" w14:paraId="27B6E763" w14:textId="77777777" w:rsidTr="006D34EE">
        <w:tc>
          <w:tcPr>
            <w:tcW w:w="2032" w:type="dxa"/>
          </w:tcPr>
          <w:p w14:paraId="03DBA49C" w14:textId="7FD9F610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sz w:val="22"/>
              </w:rPr>
              <w:t>ГОСТ EN 50065-1-2013</w:t>
            </w:r>
          </w:p>
        </w:tc>
        <w:tc>
          <w:tcPr>
            <w:tcW w:w="3291" w:type="dxa"/>
          </w:tcPr>
          <w:p w14:paraId="1C46A946" w14:textId="79E6F850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Совместимость технических средств электромагнитная. Сигнализация в низковольтных электрических установках в полосе частот от 3 ДО 148,5 кГц Часть 1. общие требования, полосы </w:t>
            </w: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lastRenderedPageBreak/>
              <w:t xml:space="preserve">частот и электромагнитные помехи. </w:t>
            </w:r>
          </w:p>
        </w:tc>
        <w:tc>
          <w:tcPr>
            <w:tcW w:w="2850" w:type="dxa"/>
          </w:tcPr>
          <w:p w14:paraId="5DD8A989" w14:textId="663AEF57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sz w:val="22"/>
              </w:rPr>
              <w:lastRenderedPageBreak/>
              <w:t>Межгосударственный стандарт</w:t>
            </w:r>
          </w:p>
        </w:tc>
        <w:tc>
          <w:tcPr>
            <w:tcW w:w="811" w:type="dxa"/>
          </w:tcPr>
          <w:p w14:paraId="5BECD511" w14:textId="34B3C744" w:rsidR="006D34EE" w:rsidRPr="006D34EE" w:rsidRDefault="006D34EE" w:rsidP="006D34EE">
            <w:pPr>
              <w:rPr>
                <w:sz w:val="22"/>
              </w:rPr>
            </w:pPr>
            <w:r>
              <w:rPr>
                <w:sz w:val="22"/>
              </w:rPr>
              <w:t>Применяется на частоте 3-148.5</w:t>
            </w:r>
          </w:p>
        </w:tc>
      </w:tr>
      <w:tr w:rsidR="006D34EE" w:rsidRPr="006D34EE" w14:paraId="51020B4A" w14:textId="77777777" w:rsidTr="006D34EE">
        <w:tc>
          <w:tcPr>
            <w:tcW w:w="2032" w:type="dxa"/>
          </w:tcPr>
          <w:p w14:paraId="2ED77E42" w14:textId="2F942BF3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sz w:val="22"/>
              </w:rPr>
              <w:lastRenderedPageBreak/>
              <w:t>ПНСТ 637-2022</w:t>
            </w:r>
          </w:p>
        </w:tc>
        <w:tc>
          <w:tcPr>
            <w:tcW w:w="3291" w:type="dxa"/>
          </w:tcPr>
          <w:p w14:paraId="1C1373C9" w14:textId="40F321C8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"Интеллектуальные транспортные системы. Частично автоматизированные системы парковки. Требования к эксплуатационным характеристикам и методы испытания"</w:t>
            </w:r>
          </w:p>
        </w:tc>
        <w:tc>
          <w:tcPr>
            <w:tcW w:w="2850" w:type="dxa"/>
          </w:tcPr>
          <w:p w14:paraId="314D9646" w14:textId="32D4A61A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sz w:val="22"/>
              </w:rPr>
              <w:t>Предварительный национальный стандарт РФ</w:t>
            </w:r>
          </w:p>
        </w:tc>
        <w:tc>
          <w:tcPr>
            <w:tcW w:w="811" w:type="dxa"/>
          </w:tcPr>
          <w:p w14:paraId="088AD460" w14:textId="0BB19596" w:rsidR="006D34EE" w:rsidRPr="006D34EE" w:rsidRDefault="006D34EE" w:rsidP="006D34EE">
            <w:pPr>
              <w:rPr>
                <w:sz w:val="22"/>
              </w:rPr>
            </w:pPr>
            <w:r>
              <w:rPr>
                <w:sz w:val="22"/>
              </w:rPr>
              <w:t>Применяется к транспортным системам</w:t>
            </w:r>
          </w:p>
        </w:tc>
      </w:tr>
      <w:tr w:rsidR="006D34EE" w:rsidRPr="006D34EE" w14:paraId="5289EA21" w14:textId="77777777" w:rsidTr="006D34EE">
        <w:tc>
          <w:tcPr>
            <w:tcW w:w="2032" w:type="dxa"/>
          </w:tcPr>
          <w:p w14:paraId="5677FA5C" w14:textId="2B6B9CB6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sz w:val="22"/>
              </w:rPr>
              <w:t>СТО НП "АВОК" 7.7-2020</w:t>
            </w:r>
          </w:p>
        </w:tc>
        <w:tc>
          <w:tcPr>
            <w:tcW w:w="3291" w:type="dxa"/>
          </w:tcPr>
          <w:p w14:paraId="53CC8B84" w14:textId="397F7400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444444"/>
                <w:sz w:val="22"/>
                <w:shd w:val="clear" w:color="auto" w:fill="FFFFFF"/>
              </w:rPr>
              <w:t xml:space="preserve">Музеи. Отопление, вентиляция, кондиционирование воздуха </w:t>
            </w:r>
          </w:p>
        </w:tc>
        <w:tc>
          <w:tcPr>
            <w:tcW w:w="2850" w:type="dxa"/>
          </w:tcPr>
          <w:p w14:paraId="6911169A" w14:textId="641E2BEA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sz w:val="22"/>
              </w:rPr>
              <w:t>Стандарт организации</w:t>
            </w:r>
          </w:p>
        </w:tc>
        <w:tc>
          <w:tcPr>
            <w:tcW w:w="811" w:type="dxa"/>
          </w:tcPr>
          <w:p w14:paraId="4F9CEF01" w14:textId="3EDA7639" w:rsidR="006D34EE" w:rsidRPr="006D34EE" w:rsidRDefault="006D34EE" w:rsidP="006D34EE">
            <w:pPr>
              <w:rPr>
                <w:sz w:val="22"/>
              </w:rPr>
            </w:pPr>
            <w:r w:rsidRPr="006D34EE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распространяется на системы отопления, вентиляции и кондиционирования воздуха, расположенные во вновь возводимых, реставрируемых и реконструируемых зданиях музеев и музейных комплексов, и содержит требования по их проектированию и по выбору теплотехнических характеристик ограждающих конструкций на указанных объектах.</w:t>
            </w:r>
          </w:p>
        </w:tc>
      </w:tr>
    </w:tbl>
    <w:p w14:paraId="7852087D" w14:textId="258004BD" w:rsidR="00A1597F" w:rsidRDefault="00A1597F" w:rsidP="00A1597F">
      <w:pPr>
        <w:ind w:left="360" w:hanging="360"/>
      </w:pPr>
      <w:r>
        <w:t>Вывод:</w:t>
      </w:r>
      <w:r w:rsidR="000A7E51">
        <w:t xml:space="preserve"> </w:t>
      </w:r>
      <w:r w:rsidR="000A7E51">
        <w:rPr>
          <w:rFonts w:cs="Times New Roman"/>
          <w:szCs w:val="28"/>
        </w:rPr>
        <w:t>Я ознакомиться с правилами обозначения стандартов, а также со степенью соответствия национальных, межгосударственных и международных стандартов между собой.</w:t>
      </w:r>
    </w:p>
    <w:p w14:paraId="753E5D95" w14:textId="7E1C89AF" w:rsidR="006760C6" w:rsidRPr="009C767B" w:rsidRDefault="006760C6" w:rsidP="006760C6">
      <w:pPr>
        <w:ind w:left="360"/>
      </w:pPr>
      <w:r>
        <w:tab/>
      </w:r>
      <w:r>
        <w:tab/>
      </w:r>
    </w:p>
    <w:sectPr w:rsidR="006760C6" w:rsidRPr="009C767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F7CB6"/>
    <w:multiLevelType w:val="hybridMultilevel"/>
    <w:tmpl w:val="E4B0CB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7B"/>
    <w:rsid w:val="000A7E51"/>
    <w:rsid w:val="0027432D"/>
    <w:rsid w:val="003B2DB4"/>
    <w:rsid w:val="005D283D"/>
    <w:rsid w:val="006760C6"/>
    <w:rsid w:val="006C0B77"/>
    <w:rsid w:val="006D34EE"/>
    <w:rsid w:val="008242FF"/>
    <w:rsid w:val="008558F0"/>
    <w:rsid w:val="00870751"/>
    <w:rsid w:val="00922C48"/>
    <w:rsid w:val="009C767B"/>
    <w:rsid w:val="00A14923"/>
    <w:rsid w:val="00A1597F"/>
    <w:rsid w:val="00B915B7"/>
    <w:rsid w:val="00EA59DF"/>
    <w:rsid w:val="00EC0F1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A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67B"/>
    <w:pPr>
      <w:ind w:left="720"/>
      <w:contextualSpacing/>
    </w:pPr>
  </w:style>
  <w:style w:type="table" w:styleId="a4">
    <w:name w:val="Table Grid"/>
    <w:basedOn w:val="a1"/>
    <w:uiPriority w:val="39"/>
    <w:rsid w:val="0085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text"/>
    <w:basedOn w:val="a"/>
    <w:rsid w:val="008558F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1597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159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0A7E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67B"/>
    <w:pPr>
      <w:ind w:left="720"/>
      <w:contextualSpacing/>
    </w:pPr>
  </w:style>
  <w:style w:type="table" w:styleId="a4">
    <w:name w:val="Table Grid"/>
    <w:basedOn w:val="a1"/>
    <w:uiPriority w:val="39"/>
    <w:rsid w:val="0085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text"/>
    <w:basedOn w:val="a"/>
    <w:rsid w:val="008558F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1597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159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0A7E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AMD</cp:lastModifiedBy>
  <cp:revision>7</cp:revision>
  <dcterms:created xsi:type="dcterms:W3CDTF">2022-12-02T23:38:00Z</dcterms:created>
  <dcterms:modified xsi:type="dcterms:W3CDTF">2022-12-08T15:46:00Z</dcterms:modified>
</cp:coreProperties>
</file>