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348DC" w14:textId="77777777" w:rsidR="00734F30" w:rsidRPr="00734F30" w:rsidRDefault="00734F30" w:rsidP="00734F30">
      <w:pPr>
        <w:pStyle w:val="NormalWeb"/>
        <w:shd w:val="clear" w:color="auto" w:fill="FFFFFF"/>
        <w:spacing w:before="0" w:beforeAutospacing="0" w:after="0" w:afterAutospacing="0" w:line="375" w:lineRule="atLeast"/>
        <w:jc w:val="both"/>
        <w:textAlignment w:val="baseline"/>
        <w:rPr>
          <w:color w:val="000000"/>
          <w:sz w:val="26"/>
          <w:szCs w:val="26"/>
        </w:rPr>
      </w:pPr>
      <w:r w:rsidRPr="00734F30">
        <w:rPr>
          <w:color w:val="000000"/>
          <w:sz w:val="26"/>
          <w:szCs w:val="26"/>
        </w:rPr>
        <w:t>Nghị định quy định đối với dự án sử dụng vốn đầu tư công, người quyết định đầu tư lựa chọn hình thức quản lý dự án quy định tại khoản 2 Điều 62 của Luật Xây dựng năm 2014 được sửa đổi, bổ sung tại khoản 19 Điều 1 của Luật số 62/2020/QH14.</w:t>
      </w:r>
    </w:p>
    <w:p w14:paraId="13BEF485" w14:textId="77777777" w:rsidR="00734F30" w:rsidRPr="00734F30" w:rsidRDefault="00734F30" w:rsidP="00734F30">
      <w:pPr>
        <w:pStyle w:val="NormalWeb"/>
        <w:shd w:val="clear" w:color="auto" w:fill="FFFFFF"/>
        <w:spacing w:before="0" w:beforeAutospacing="0" w:after="0" w:afterAutospacing="0" w:line="375" w:lineRule="atLeast"/>
        <w:jc w:val="both"/>
        <w:textAlignment w:val="baseline"/>
        <w:rPr>
          <w:color w:val="000000"/>
          <w:sz w:val="26"/>
          <w:szCs w:val="26"/>
        </w:rPr>
      </w:pPr>
      <w:r w:rsidRPr="00734F30">
        <w:rPr>
          <w:color w:val="000000"/>
          <w:sz w:val="26"/>
          <w:szCs w:val="26"/>
        </w:rPr>
        <w:t>Cụ thể, người quyết định đầu tư quyết định áp dụng hình thức Ban quản lý dự án đầu tư xây dựng chuyên ngành, Ban quản lý dự án đầu tư xây dựng khu vực (Ban quản lý dự án chuyên ngành, Ban quản lý dự án khu vực) trên cơ sở số lượng, tiến độ thực hiện các dự án cùng một chuyên ngành, cùng một hướng tuyến, trong một khu vực hành chính hoặc theo yêu cầu của nhà tài trợ vốn.</w:t>
      </w:r>
    </w:p>
    <w:p w14:paraId="1FB74891" w14:textId="77777777" w:rsidR="00734F30" w:rsidRPr="00734F30" w:rsidRDefault="00734F30" w:rsidP="00734F30">
      <w:pPr>
        <w:pStyle w:val="NormalWeb"/>
        <w:shd w:val="clear" w:color="auto" w:fill="FFFFFF"/>
        <w:spacing w:before="0" w:beforeAutospacing="0" w:after="0" w:afterAutospacing="0" w:line="375" w:lineRule="atLeast"/>
        <w:jc w:val="both"/>
        <w:textAlignment w:val="baseline"/>
        <w:rPr>
          <w:color w:val="000000"/>
          <w:sz w:val="26"/>
          <w:szCs w:val="26"/>
        </w:rPr>
      </w:pPr>
      <w:r w:rsidRPr="00734F30">
        <w:rPr>
          <w:color w:val="000000"/>
          <w:sz w:val="26"/>
          <w:szCs w:val="26"/>
        </w:rPr>
        <w:t>Trong trường hợp không áp dụng hình thức quản lý dự án theo quy định trên, người quyết định đầu tư quyết định áp dụng hình thức Ban quản lý dự án đầu tư xây dựng một dự án hoặc chủ đầu tư tổ chức thực hiện quản lý dự án hoặc thuê tư vấn quản lý dự án.</w:t>
      </w:r>
    </w:p>
    <w:p w14:paraId="5567A9A2" w14:textId="77777777" w:rsidR="00734F30" w:rsidRPr="00734F30" w:rsidRDefault="00734F30" w:rsidP="00734F30">
      <w:pPr>
        <w:pStyle w:val="NormalWeb"/>
        <w:shd w:val="clear" w:color="auto" w:fill="FFFFFF"/>
        <w:spacing w:before="0" w:beforeAutospacing="0" w:after="0" w:afterAutospacing="0" w:line="375" w:lineRule="atLeast"/>
        <w:jc w:val="both"/>
        <w:textAlignment w:val="baseline"/>
        <w:rPr>
          <w:color w:val="000000"/>
          <w:sz w:val="26"/>
          <w:szCs w:val="26"/>
        </w:rPr>
      </w:pPr>
      <w:r w:rsidRPr="00734F30">
        <w:rPr>
          <w:color w:val="000000"/>
          <w:sz w:val="26"/>
          <w:szCs w:val="26"/>
        </w:rPr>
        <w:t>Còn đối với dự án sử dụng vốn nhà nước ngoài đầu tư công hoặc vốn khác, người quyết định đầu tư quyết định hình thức quản lý dự án được quy định tại khoản 1 Điều 62 của Luật Xây dựng năm 2014 được sửa đổi, bổ sung tại khoản 19 Điều 1 của Luật số 62/2020/QH14, phù hợp với yêu cầu quản lý và điều kiện cụ thể của dự án.</w:t>
      </w:r>
    </w:p>
    <w:p w14:paraId="04E38638" w14:textId="77777777" w:rsidR="00734F30" w:rsidRPr="00734F30" w:rsidRDefault="00734F30" w:rsidP="00734F30">
      <w:pPr>
        <w:pStyle w:val="NormalWeb"/>
        <w:shd w:val="clear" w:color="auto" w:fill="FFFFFF"/>
        <w:spacing w:before="0" w:beforeAutospacing="0" w:after="0" w:afterAutospacing="0" w:line="375" w:lineRule="atLeast"/>
        <w:jc w:val="both"/>
        <w:textAlignment w:val="baseline"/>
        <w:rPr>
          <w:color w:val="000000"/>
          <w:sz w:val="26"/>
          <w:szCs w:val="26"/>
        </w:rPr>
      </w:pPr>
      <w:r w:rsidRPr="00734F30">
        <w:rPr>
          <w:color w:val="000000"/>
          <w:sz w:val="26"/>
          <w:szCs w:val="26"/>
        </w:rPr>
        <w:t>Đối với dự án sử dụng vốn ODA, vốn vay ưu đãi của nhà tài trợ nước ngoài, hình thức tổ chức quản lý dự án được áp dụng theo quy định của điều ước quốc tế về ODA hoặc thỏa thuận với nhà tài trợ. Trường hợp điều ước quốc tế về ODA hoặc thỏa thuận với nhà tài trợ không có quy định cụ thể thì hình thức tổ chức quản lý dự án được thực hiện theo quy định của Nghị định này.</w:t>
      </w:r>
    </w:p>
    <w:p w14:paraId="27A0C812" w14:textId="77777777" w:rsidR="00734F30" w:rsidRPr="00734F30" w:rsidRDefault="00734F30" w:rsidP="00734F30">
      <w:pPr>
        <w:pStyle w:val="NormalWeb"/>
        <w:shd w:val="clear" w:color="auto" w:fill="FFFFFF"/>
        <w:spacing w:before="0" w:beforeAutospacing="0" w:after="0" w:afterAutospacing="0" w:line="375" w:lineRule="atLeast"/>
        <w:jc w:val="both"/>
        <w:textAlignment w:val="baseline"/>
        <w:rPr>
          <w:color w:val="000000"/>
          <w:sz w:val="26"/>
          <w:szCs w:val="26"/>
        </w:rPr>
      </w:pPr>
      <w:r w:rsidRPr="00734F30">
        <w:rPr>
          <w:color w:val="000000"/>
          <w:sz w:val="26"/>
          <w:szCs w:val="26"/>
        </w:rPr>
        <w:t>Đối với dự án PPP, hình thức quản lý dự án được thực hiện theo quy định tại các điểm a, b, c và d khoản 1 Điều 62 của Luật Xây dựng năm 2014 được sửa đổi, bổ sung tại khoản 19 Điều 1 Luật số 62/2020/QH14 phù hợp với yêu cầu quản lý, điều kiện cụ thể của dự án và thỏa thuận tại hợp đồng dự án.</w:t>
      </w:r>
    </w:p>
    <w:p w14:paraId="7AA1E2F3" w14:textId="77777777" w:rsidR="00446EBB" w:rsidRPr="00734F30" w:rsidRDefault="00446EBB" w:rsidP="00734F30">
      <w:pPr>
        <w:jc w:val="both"/>
        <w:rPr>
          <w:rFonts w:ascii="Times New Roman" w:hAnsi="Times New Roman" w:cs="Times New Roman"/>
          <w:sz w:val="26"/>
          <w:szCs w:val="26"/>
        </w:rPr>
      </w:pPr>
    </w:p>
    <w:sectPr w:rsidR="00446EBB" w:rsidRPr="00734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30"/>
    <w:rsid w:val="00446EBB"/>
    <w:rsid w:val="006A2944"/>
    <w:rsid w:val="00734F30"/>
    <w:rsid w:val="00F7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0AEF"/>
  <w15:chartTrackingRefBased/>
  <w15:docId w15:val="{CA120748-B361-4C68-BA60-25307EF3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F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08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Đỗ</dc:creator>
  <cp:keywords/>
  <dc:description/>
  <cp:lastModifiedBy>Nhi Đỗ</cp:lastModifiedBy>
  <cp:revision>1</cp:revision>
  <dcterms:created xsi:type="dcterms:W3CDTF">2022-01-12T09:26:00Z</dcterms:created>
  <dcterms:modified xsi:type="dcterms:W3CDTF">2022-01-12T09:26:00Z</dcterms:modified>
</cp:coreProperties>
</file>