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1C0F" w14:textId="77777777" w:rsidR="00B54EAF" w:rsidRPr="00B54EAF" w:rsidRDefault="00B54EAF" w:rsidP="00B54EAF">
      <w:pPr>
        <w:pStyle w:val="NormalWeb"/>
        <w:shd w:val="clear" w:color="auto" w:fill="FFFFFF"/>
        <w:spacing w:before="384" w:beforeAutospacing="0" w:after="384" w:afterAutospacing="0" w:line="384" w:lineRule="atLeast"/>
        <w:jc w:val="both"/>
        <w:rPr>
          <w:color w:val="222222"/>
          <w:sz w:val="26"/>
          <w:szCs w:val="26"/>
        </w:rPr>
      </w:pPr>
      <w:r w:rsidRPr="00B54EAF">
        <w:rPr>
          <w:color w:val="222222"/>
          <w:sz w:val="26"/>
          <w:szCs w:val="26"/>
        </w:rPr>
        <w:t>Các quỹ doanh nghiệp bao gồm quỹ đầu tư phát triển, quỹ dự phòng tài chính, các quỹ thuộc vốn chủ sở hữu, quỹ khen thưởng, quỹ phúc lợi. Các quỹ doanh nghiệp được hình thành bằng cách trích một tỷ lệ nhất định từ phần lợi nhuận sau thuế để lại doanh nghiệp theo quy định của chế độ tài chính và từ một số nguồn khác (viện trợ, tặng thưởng, cấp duới nộp, cấp trên cấp bổ sung…). Các quỹ doanh nghiệp được sử dụng cho từng mục đích chi tiêu riêng.</w:t>
      </w:r>
    </w:p>
    <w:p w14:paraId="664E35ED" w14:textId="77777777" w:rsidR="00B54EAF" w:rsidRPr="00B54EAF" w:rsidRDefault="00B54EAF" w:rsidP="00B54EAF">
      <w:pPr>
        <w:pStyle w:val="NormalWeb"/>
        <w:shd w:val="clear" w:color="auto" w:fill="FFFFFF"/>
        <w:spacing w:before="0" w:beforeAutospacing="0" w:after="0" w:afterAutospacing="0" w:line="384" w:lineRule="atLeast"/>
        <w:jc w:val="both"/>
        <w:rPr>
          <w:color w:val="222222"/>
          <w:sz w:val="26"/>
          <w:szCs w:val="26"/>
        </w:rPr>
      </w:pPr>
      <w:r w:rsidRPr="00B54EAF">
        <w:rPr>
          <w:noProof/>
          <w:color w:val="343434"/>
          <w:sz w:val="26"/>
          <w:szCs w:val="26"/>
          <w:bdr w:val="none" w:sz="0" w:space="0" w:color="auto" w:frame="1"/>
        </w:rPr>
        <w:drawing>
          <wp:inline distT="0" distB="0" distL="0" distR="0" wp14:anchorId="299DCC8D" wp14:editId="25BD0D2C">
            <wp:extent cx="4000500" cy="2838450"/>
            <wp:effectExtent l="0" t="0" r="0" b="0"/>
            <wp:docPr id="1" name="Picture 1" descr="cv_xin_vie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_xin_viec">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838450"/>
                    </a:xfrm>
                    <a:prstGeom prst="rect">
                      <a:avLst/>
                    </a:prstGeom>
                    <a:noFill/>
                    <a:ln>
                      <a:noFill/>
                    </a:ln>
                  </pic:spPr>
                </pic:pic>
              </a:graphicData>
            </a:graphic>
          </wp:inline>
        </w:drawing>
      </w:r>
    </w:p>
    <w:p w14:paraId="6177B411" w14:textId="77777777" w:rsidR="00B54EAF" w:rsidRPr="00B54EAF" w:rsidRDefault="00B54EAF" w:rsidP="00B54EAF">
      <w:pPr>
        <w:pStyle w:val="NormalWeb"/>
        <w:shd w:val="clear" w:color="auto" w:fill="FFFFFF"/>
        <w:spacing w:before="384" w:beforeAutospacing="0" w:after="384" w:afterAutospacing="0" w:line="384" w:lineRule="atLeast"/>
        <w:jc w:val="both"/>
        <w:rPr>
          <w:color w:val="222222"/>
          <w:sz w:val="26"/>
          <w:szCs w:val="26"/>
        </w:rPr>
      </w:pPr>
      <w:r w:rsidRPr="00B54EAF">
        <w:rPr>
          <w:color w:val="222222"/>
          <w:sz w:val="26"/>
          <w:szCs w:val="26"/>
        </w:rPr>
        <w:t>Quỹ đầu tư phát triển: Quỹ này được dùng để bổ sung vốn điều lệ của Công ty; sử dụng cho các mục đích mở rộng, phát triển sản xuất kinh doanh, đầu tư theo chiều sâu, mua sắm, xây dựng tài sản cố định, cải tiến và đổi mới dây chuyền sản xuất, đổi mới công nghệ, mua cổ phiếu, góp cổ phần, nghiên cứu khoa học, trích nộp lên cấp trên để hình thành quỹ phát triển …</w:t>
      </w:r>
    </w:p>
    <w:p w14:paraId="4843CA64" w14:textId="77777777" w:rsidR="00B54EAF" w:rsidRPr="00B54EAF" w:rsidRDefault="00B54EAF" w:rsidP="00B54EAF">
      <w:pPr>
        <w:pStyle w:val="NormalWeb"/>
        <w:shd w:val="clear" w:color="auto" w:fill="FFFFFF"/>
        <w:spacing w:before="384" w:beforeAutospacing="0" w:after="384" w:afterAutospacing="0" w:line="384" w:lineRule="atLeast"/>
        <w:jc w:val="both"/>
        <w:rPr>
          <w:color w:val="222222"/>
          <w:sz w:val="26"/>
          <w:szCs w:val="26"/>
        </w:rPr>
      </w:pPr>
      <w:r w:rsidRPr="00B54EAF">
        <w:rPr>
          <w:color w:val="222222"/>
          <w:sz w:val="26"/>
          <w:szCs w:val="26"/>
        </w:rPr>
        <w:t>Quỹ dự phòng tài chính được dùng để: Bù đắp những tổn thất, thiệt hại về tài sản, công nợ không đòi được xảy ra trong quá trình kinh doanh; Bù đắp khoản lỗ của Công ty theo quyết định của Hội đồng quản trị hoặc đại diện chủ sở hữu; Ngoài ra một phần sẽ trích nộp lên đơn vị cấp trên theo tỷ lệ quy định.</w:t>
      </w:r>
    </w:p>
    <w:p w14:paraId="6BB82C7A" w14:textId="77777777" w:rsidR="00B54EAF" w:rsidRPr="00B54EAF" w:rsidRDefault="00B54EAF" w:rsidP="00B54EAF">
      <w:pPr>
        <w:pStyle w:val="NormalWeb"/>
        <w:shd w:val="clear" w:color="auto" w:fill="FFFFFF"/>
        <w:spacing w:before="384" w:beforeAutospacing="0" w:after="384" w:afterAutospacing="0" w:line="384" w:lineRule="atLeast"/>
        <w:jc w:val="both"/>
        <w:rPr>
          <w:color w:val="222222"/>
          <w:sz w:val="26"/>
          <w:szCs w:val="26"/>
        </w:rPr>
      </w:pPr>
      <w:r w:rsidRPr="00B54EAF">
        <w:rPr>
          <w:color w:val="222222"/>
          <w:sz w:val="26"/>
          <w:szCs w:val="26"/>
        </w:rPr>
        <w:t xml:space="preserve">Các quỹ khác thuộc vốn chủ sở hữu được sử dụng để thưởng cho Hội đồng quản trị, Ban Giám đốc Công ty. Mức thưởng do đại diện chủ sở hữu quyết định gắn với hiệu quả hoạt </w:t>
      </w:r>
      <w:r w:rsidRPr="00B54EAF">
        <w:rPr>
          <w:color w:val="222222"/>
          <w:sz w:val="26"/>
          <w:szCs w:val="26"/>
        </w:rPr>
        <w:lastRenderedPageBreak/>
        <w:t>động kinh doanh của Công ty, trên cơ sở đề nghị của Chủ định Hội đồng quản trị hoặc Giám đốc Công ty (đối với Công ty không có Hội đồng quản trị).</w:t>
      </w:r>
    </w:p>
    <w:p w14:paraId="138F2F79" w14:textId="77777777" w:rsidR="00B54EAF" w:rsidRPr="00B54EAF" w:rsidRDefault="00B54EAF" w:rsidP="00B54EAF">
      <w:pPr>
        <w:pStyle w:val="NormalWeb"/>
        <w:shd w:val="clear" w:color="auto" w:fill="FFFFFF"/>
        <w:spacing w:before="384" w:beforeAutospacing="0" w:after="384" w:afterAutospacing="0" w:line="384" w:lineRule="atLeast"/>
        <w:jc w:val="both"/>
        <w:rPr>
          <w:color w:val="222222"/>
          <w:sz w:val="26"/>
          <w:szCs w:val="26"/>
        </w:rPr>
      </w:pPr>
      <w:r w:rsidRPr="00B54EAF">
        <w:rPr>
          <w:color w:val="222222"/>
          <w:sz w:val="26"/>
          <w:szCs w:val="26"/>
        </w:rPr>
        <w:t>Quỹ khen thưởng được dùng để: Thưởng cuối năm hoặc thường kỳ trên cơ sở năng suất lao động và thành tích công tác của mỗi cán bộ, công nhân viên trong Công ty Nhà nước; Thưởng đột xuất cho những cá nhân, tập thể trong Công ty Nhà nước; Thưởng cho những cá nhân và đơn vị ngoài Công ty Nhà nước có đóng góp nhiều cho hoạt động kinh doanh, công tác quản lý của Công ty.</w:t>
      </w:r>
    </w:p>
    <w:p w14:paraId="771CDED7" w14:textId="77777777" w:rsidR="00446EBB" w:rsidRPr="00B54EAF" w:rsidRDefault="00446EBB" w:rsidP="00B54EAF">
      <w:pPr>
        <w:pStyle w:val="Heading1"/>
        <w:jc w:val="both"/>
        <w:rPr>
          <w:rFonts w:ascii="Times New Roman" w:hAnsi="Times New Roman" w:cs="Times New Roman"/>
          <w:sz w:val="26"/>
          <w:szCs w:val="26"/>
        </w:rPr>
      </w:pPr>
    </w:p>
    <w:sectPr w:rsidR="00446EBB" w:rsidRPr="00B5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AF"/>
    <w:rsid w:val="00446EBB"/>
    <w:rsid w:val="006A2944"/>
    <w:rsid w:val="00B54EAF"/>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39D7"/>
  <w15:chartTrackingRefBased/>
  <w15:docId w15:val="{801852BE-B944-4A35-8910-1402775B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4E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hocketoanthuehcm.edu.vn/wp-content/uploads/2014/04/cv_xin_vie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2022-01-12T08:59:00Z</dcterms:created>
  <dcterms:modified xsi:type="dcterms:W3CDTF">2022-01-12T09:00:00Z</dcterms:modified>
</cp:coreProperties>
</file>