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4D"/>
          <w:sz w:val="32"/>
        </w:rPr>
        <w:t>Sesión 01: Del problema del cliente al análisis del software</w:t>
      </w:r>
    </w:p>
    <w:p>
      <w:pPr>
        <w:jc w:val="center"/>
      </w:pPr>
      <w:r>
        <w:rPr>
          <w:b/>
          <w:color w:val="39A900"/>
          <w:sz w:val="22"/>
        </w:rPr>
        <w:t>3.1 Reflexión inicial y 3.2 Contextualización e identificación de conocimientos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Proyecto formativo</w:t>
            </w:r>
          </w:p>
        </w:tc>
        <w:tc>
          <w:tcPr>
            <w:tcW w:type="dxa" w:w="7143"/>
            <w:vAlign w:val="center"/>
          </w:tcPr>
          <w:p>
            <w:pPr>
              <w:spacing w:after="20"/>
            </w:pPr>
            <w:r/>
            <w:r>
              <w:rPr>
                <w:b w:val="0"/>
                <w:i w:val="0"/>
                <w:sz w:val="20"/>
              </w:rPr>
              <w:t>Desarrollo de soluciones de software multiplataforma para la optimización y trazabilidad de procesos (3325977)</w:t>
            </w:r>
          </w:p>
        </w:tc>
      </w:tr>
      <w:tr>
        <w:tc>
          <w:tcPr>
            <w:tcW w:type="dxa" w:w="2608"/>
            <w:shd w:val="clear" w:color="auto" w:fill="EEF5EA"/>
            <w:vAlign w:val="center"/>
          </w:tcPr>
          <w:p>
            <w:pPr>
              <w:spacing w:after="20"/>
            </w:pPr>
            <w:r/>
            <w:r>
              <w:rPr>
                <w:b/>
                <w:color w:val="00304D"/>
                <w:sz w:val="20"/>
              </w:rPr>
              <w:t>Fase / actividad de proyecto</w:t>
            </w:r>
          </w:p>
        </w:tc>
        <w:tc>
          <w:tcPr>
            <w:tcW w:type="dxa" w:w="7143"/>
            <w:vAlign w:val="center"/>
          </w:tcPr>
          <w:p>
            <w:pPr>
              <w:spacing w:after="20"/>
            </w:pPr>
            <w:r/>
            <w:r>
              <w:rPr>
                <w:b w:val="0"/>
                <w:i w:val="0"/>
                <w:sz w:val="20"/>
              </w:rPr>
              <w:t>Fase 1: Análisis – Caracterizar las necesidades y requerimientos de la solución de software.</w:t>
            </w:r>
          </w:p>
        </w:tc>
      </w:tr>
      <w:tr>
        <w:tc>
          <w:tcPr>
            <w:tcW w:type="dxa" w:w="2608"/>
            <w:shd w:val="clear" w:color="auto" w:fill="EEF5EA"/>
            <w:vAlign w:val="center"/>
          </w:tcPr>
          <w:p>
            <w:pPr>
              <w:spacing w:after="20"/>
            </w:pPr>
            <w:r/>
            <w:r>
              <w:rPr>
                <w:b/>
                <w:color w:val="00304D"/>
                <w:sz w:val="20"/>
              </w:rPr>
              <w:t>Actividad de aprendizaje</w:t>
            </w:r>
          </w:p>
        </w:tc>
        <w:tc>
          <w:tcPr>
            <w:tcW w:type="dxa" w:w="7143"/>
            <w:vAlign w:val="center"/>
          </w:tcPr>
          <w:p>
            <w:pPr>
              <w:spacing w:after="20"/>
            </w:pPr>
            <w:r/>
            <w:r>
              <w:rPr>
                <w:b w:val="0"/>
                <w:i w:val="0"/>
                <w:sz w:val="20"/>
              </w:rPr>
              <w:t>Actividad 2: Establecer los requisitos de una solución de software mediante la recolección, organización e interpretación de información del contexto, aplicando técnicas de análisis de requisitos, estándares técnicos y herramientas de razonamiento cuantitativo.</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220501093 – Evaluar requisitos de la solución de software de acuerdo con metodologías de análisis y estándares</w:t>
            </w:r>
          </w:p>
        </w:tc>
      </w:tr>
      <w:tr>
        <w:tc>
          <w:tcPr>
            <w:tcW w:type="dxa" w:w="2608"/>
            <w:shd w:val="clear" w:color="auto" w:fill="EEF5EA"/>
            <w:vAlign w:val="center"/>
          </w:tcPr>
          <w:p>
            <w:pPr>
              <w:spacing w:after="20"/>
            </w:pPr>
            <w:r/>
            <w:r>
              <w:rPr>
                <w:b/>
                <w:color w:val="00304D"/>
                <w:sz w:val="20"/>
              </w:rPr>
              <w:t>Resultado(s) de aprendizaje</w:t>
            </w:r>
          </w:p>
        </w:tc>
        <w:tc>
          <w:tcPr>
            <w:tcW w:type="dxa" w:w="7143"/>
            <w:vAlign w:val="center"/>
          </w:tcPr>
          <w:p>
            <w:pPr>
              <w:spacing w:after="20"/>
            </w:pPr>
            <w:r/>
            <w:r>
              <w:rPr>
                <w:b w:val="0"/>
                <w:i w:val="0"/>
                <w:sz w:val="20"/>
              </w:rPr>
              <w:t>Introductorio a los RAP 01 a 04 de la competencia 220501093</w:t>
            </w:r>
          </w:p>
        </w:tc>
      </w:tr>
      <w:tr>
        <w:tc>
          <w:tcPr>
            <w:tcW w:type="dxa" w:w="2608"/>
            <w:shd w:val="clear" w:color="auto" w:fill="EEF5EA"/>
            <w:vAlign w:val="center"/>
          </w:tcPr>
          <w:p>
            <w:pPr>
              <w:spacing w:after="20"/>
            </w:pPr>
            <w:r/>
            <w:r>
              <w:rPr>
                <w:b/>
                <w:color w:val="00304D"/>
                <w:sz w:val="20"/>
              </w:rPr>
              <w:t>Momento de la guía</w:t>
            </w:r>
          </w:p>
        </w:tc>
        <w:tc>
          <w:tcPr>
            <w:tcW w:type="dxa" w:w="7143"/>
            <w:vAlign w:val="center"/>
          </w:tcPr>
          <w:p>
            <w:pPr>
              <w:spacing w:after="20"/>
            </w:pPr>
            <w:r/>
            <w:r>
              <w:rPr>
                <w:b w:val="0"/>
                <w:i w:val="0"/>
                <w:sz w:val="20"/>
              </w:rPr>
              <w:t>3.1 Reflexión inicial y 3.2 Contextualización e identificación de conocimientos</w:t>
            </w:r>
          </w:p>
        </w:tc>
      </w:tr>
      <w:tr>
        <w:tc>
          <w:tcPr>
            <w:tcW w:type="dxa" w:w="2608"/>
            <w:shd w:val="clear" w:color="auto" w:fill="EEF5EA"/>
            <w:vAlign w:val="center"/>
          </w:tcPr>
          <w:p>
            <w:pPr>
              <w:spacing w:after="20"/>
            </w:pPr>
            <w:r/>
            <w:r>
              <w:rPr>
                <w:b/>
                <w:color w:val="00304D"/>
                <w:sz w:val="20"/>
              </w:rPr>
              <w:t>Sesión</w:t>
            </w:r>
          </w:p>
        </w:tc>
        <w:tc>
          <w:tcPr>
            <w:tcW w:type="dxa" w:w="7143"/>
            <w:vAlign w:val="center"/>
          </w:tcPr>
          <w:p>
            <w:pPr>
              <w:spacing w:after="20"/>
            </w:pPr>
            <w:r/>
            <w:r>
              <w:rPr>
                <w:b w:val="0"/>
                <w:i w:val="0"/>
                <w:sz w:val="20"/>
              </w:rPr>
              <w:t>01 – Del problema del cliente al análisis del software</w:t>
            </w:r>
          </w:p>
        </w:tc>
      </w:tr>
      <w:tr>
        <w:tc>
          <w:tcPr>
            <w:tcW w:type="dxa" w:w="2608"/>
            <w:shd w:val="clear" w:color="auto" w:fill="EEF5EA"/>
            <w:vAlign w:val="center"/>
          </w:tcPr>
          <w:p>
            <w:pPr>
              <w:spacing w:after="20"/>
            </w:pPr>
            <w:r/>
            <w:r>
              <w:rPr>
                <w:b/>
                <w:color w:val="00304D"/>
                <w:sz w:val="20"/>
              </w:rPr>
              <w:t>Duración</w:t>
            </w:r>
          </w:p>
        </w:tc>
        <w:tc>
          <w:tcPr>
            <w:tcW w:type="dxa" w:w="7143"/>
            <w:vAlign w:val="center"/>
          </w:tcPr>
          <w:p>
            <w:pPr>
              <w:spacing w:after="20"/>
            </w:pPr>
            <w:r/>
            <w:r>
              <w:rPr>
                <w:b w:val="0"/>
                <w:i w:val="0"/>
                <w:sz w:val="20"/>
              </w:rPr>
              <w:t>8 horas (2 h reflexión inicial + 6 h contextualización)</w:t>
            </w:r>
          </w:p>
        </w:tc>
      </w:tr>
      <w:tr>
        <w:tc>
          <w:tcPr>
            <w:tcW w:type="dxa" w:w="2608"/>
            <w:shd w:val="clear" w:color="auto" w:fill="EEF5EA"/>
            <w:vAlign w:val="center"/>
          </w:tcPr>
          <w:p>
            <w:pPr>
              <w:spacing w:after="20"/>
            </w:pPr>
            <w:r/>
            <w:r>
              <w:rPr>
                <w:b/>
                <w:color w:val="00304D"/>
                <w:sz w:val="20"/>
              </w:rPr>
              <w:t>Instructor responsable</w:t>
            </w:r>
          </w:p>
        </w:tc>
        <w:tc>
          <w:tcPr>
            <w:tcW w:type="dxa" w:w="7143"/>
            <w:vAlign w:val="center"/>
          </w:tcPr>
          <w:p>
            <w:pPr>
              <w:spacing w:after="20"/>
            </w:pPr>
            <w:r/>
            <w:r>
              <w:rPr>
                <w:b w:val="0"/>
                <w:i w:val="0"/>
                <w:sz w:val="20"/>
              </w:rPr>
              <w:t>Instructor técnico (Tecnólogo o profesional en sistemas y afines)</w:t>
            </w:r>
          </w:p>
        </w:tc>
      </w:tr>
    </w:tbl>
    <w:p>
      <w:pPr>
        <w:spacing w:after="40"/>
      </w:pPr>
    </w:p>
    <w:p>
      <w:pPr>
        <w:pStyle w:val="Heading1"/>
      </w:pPr>
      <w:r>
        <w:t>1. Propósito de la sesión</w:t>
      </w:r>
    </w:p>
    <w:p>
      <w:pPr>
        <w:jc w:val="both"/>
      </w:pPr>
      <w:r>
        <w:rPr>
          <w:b w:val="0"/>
          <w:i w:val="0"/>
        </w:rPr>
        <w:t>Motivar la reflexión sobre la importancia de comprender, modelar y medir un problema antes de construir una solución de software, e identificar los conocimientos previos de los aprendices sobre ciclo de vida del software, metodologías de desarrollo, UML y algoritmos, relacionándolos con la información recolectada del proceso objeto de intervención del proyecto formativo.</w:t>
      </w:r>
    </w:p>
    <w:p>
      <w:pPr>
        <w:pStyle w:val="Heading1"/>
      </w:pPr>
      <w:r>
        <w:t>2. Secuencia didáctica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814"/>
        <w:gridCol w:w="1020"/>
        <w:gridCol w:w="5103"/>
        <w:gridCol w:w="1814"/>
      </w:tblGrid>
      <w:tr>
        <w:trPr>
          <w:tblHeader w:val="true"/>
        </w:trPr>
        <w:tc>
          <w:tcPr>
            <w:tcW w:type="dxa" w:w="1814"/>
            <w:shd w:val="clear" w:color="auto" w:fill="00304D"/>
            <w:vAlign w:val="center"/>
          </w:tcPr>
          <w:p>
            <w:r/>
            <w:r>
              <w:rPr>
                <w:b/>
                <w:color w:val="FFFFFF"/>
                <w:sz w:val="19"/>
              </w:rPr>
              <w:t>Momento</w:t>
            </w:r>
          </w:p>
        </w:tc>
        <w:tc>
          <w:tcPr>
            <w:tcW w:type="dxa" w:w="1020"/>
            <w:shd w:val="clear" w:color="auto" w:fill="00304D"/>
            <w:vAlign w:val="center"/>
          </w:tcPr>
          <w:p>
            <w:r/>
            <w:r>
              <w:rPr>
                <w:b/>
                <w:color w:val="FFFFFF"/>
                <w:sz w:val="19"/>
              </w:rPr>
              <w:t>Tiempo</w:t>
            </w:r>
          </w:p>
        </w:tc>
        <w:tc>
          <w:tcPr>
            <w:tcW w:type="dxa" w:w="5102"/>
            <w:shd w:val="clear" w:color="auto" w:fill="00304D"/>
            <w:vAlign w:val="center"/>
          </w:tcPr>
          <w:p>
            <w:r/>
            <w:r>
              <w:rPr>
                <w:b/>
                <w:color w:val="FFFFFF"/>
                <w:sz w:val="19"/>
              </w:rPr>
              <w:t>Actividad</w:t>
            </w:r>
          </w:p>
        </w:tc>
        <w:tc>
          <w:tcPr>
            <w:tcW w:type="dxa" w:w="1814"/>
            <w:shd w:val="clear" w:color="auto" w:fill="00304D"/>
            <w:vAlign w:val="center"/>
          </w:tcPr>
          <w:p>
            <w:r/>
            <w:r>
              <w:rPr>
                <w:b/>
                <w:color w:val="FFFFFF"/>
                <w:sz w:val="19"/>
              </w:rPr>
              <w:t>Responsable</w:t>
            </w:r>
          </w:p>
        </w:tc>
      </w:tr>
      <w:tr>
        <w:tc>
          <w:tcPr>
            <w:tcW w:type="dxa" w:w="1814"/>
            <w:vAlign w:val="center"/>
          </w:tcPr>
          <w:p>
            <w:pPr>
              <w:spacing w:after="20"/>
            </w:pPr>
            <w:r/>
            <w:r>
              <w:rPr>
                <w:b w:val="0"/>
                <w:i w:val="0"/>
                <w:sz w:val="19"/>
              </w:rPr>
              <w:t>Reflexión inicial</w:t>
            </w:r>
          </w:p>
        </w:tc>
        <w:tc>
          <w:tcPr>
            <w:tcW w:type="dxa" w:w="1020"/>
            <w:vAlign w:val="center"/>
          </w:tcPr>
          <w:p>
            <w:pPr>
              <w:spacing w:after="20"/>
            </w:pPr>
            <w:r/>
            <w:r>
              <w:rPr>
                <w:b w:val="0"/>
                <w:i w:val="0"/>
                <w:sz w:val="19"/>
              </w:rPr>
              <w:t>20 min</w:t>
            </w:r>
          </w:p>
        </w:tc>
        <w:tc>
          <w:tcPr>
            <w:tcW w:type="dxa" w:w="5102"/>
            <w:vAlign w:val="center"/>
          </w:tcPr>
          <w:p>
            <w:pPr>
              <w:spacing w:after="20"/>
            </w:pPr>
            <w:r/>
            <w:r>
              <w:rPr>
                <w:b w:val="0"/>
                <w:i w:val="0"/>
                <w:sz w:val="19"/>
              </w:rPr>
              <w:t>Rompehielo «Mi app favorita y el problema que resuelve»: cada aprendiz dice qué problema resuelve su aplicación favorita y qué le mejoraría.</w:t>
            </w:r>
          </w:p>
        </w:tc>
        <w:tc>
          <w:tcPr>
            <w:tcW w:type="dxa" w:w="1814"/>
            <w:vAlign w:val="center"/>
          </w:tcPr>
          <w:p>
            <w:pPr>
              <w:spacing w:after="20"/>
            </w:pPr>
            <w:r/>
            <w:r>
              <w:rPr>
                <w:b w:val="0"/>
                <w:i w:val="0"/>
                <w:sz w:val="19"/>
              </w:rPr>
              <w:t>Instructor técnico</w:t>
            </w:r>
          </w:p>
        </w:tc>
      </w:tr>
      <w:tr>
        <w:tc>
          <w:tcPr>
            <w:tcW w:type="dxa" w:w="1814"/>
            <w:vAlign w:val="center"/>
            <w:shd w:val="clear" w:color="auto" w:fill="F4F7F9"/>
          </w:tcPr>
          <w:p>
            <w:pPr>
              <w:spacing w:after="20"/>
            </w:pPr>
            <w:r/>
            <w:r>
              <w:rPr>
                <w:b w:val="0"/>
                <w:i w:val="0"/>
                <w:sz w:val="19"/>
              </w:rPr>
              <w:t>Reflexión inicial</w:t>
            </w:r>
          </w:p>
        </w:tc>
        <w:tc>
          <w:tcPr>
            <w:tcW w:type="dxa" w:w="1020"/>
            <w:vAlign w:val="center"/>
            <w:shd w:val="clear" w:color="auto" w:fill="F4F7F9"/>
          </w:tcPr>
          <w:p>
            <w:pPr>
              <w:spacing w:after="20"/>
            </w:pPr>
            <w:r/>
            <w:r>
              <w:rPr>
                <w:b w:val="0"/>
                <w:i w:val="0"/>
                <w:sz w:val="19"/>
              </w:rPr>
              <w:t>60 min</w:t>
            </w:r>
          </w:p>
        </w:tc>
        <w:tc>
          <w:tcPr>
            <w:tcW w:type="dxa" w:w="5102"/>
            <w:vAlign w:val="center"/>
            <w:shd w:val="clear" w:color="auto" w:fill="F4F7F9"/>
          </w:tcPr>
          <w:p>
            <w:pPr>
              <w:spacing w:after="20"/>
            </w:pPr>
            <w:r/>
            <w:r>
              <w:rPr>
                <w:b w:val="0"/>
                <w:i w:val="0"/>
                <w:sz w:val="19"/>
              </w:rPr>
              <w:t>Caso «el columpio del árbol» y diligenciamiento de la hoja de observación en parejas.</w:t>
            </w:r>
          </w:p>
        </w:tc>
        <w:tc>
          <w:tcPr>
            <w:tcW w:type="dxa" w:w="1814"/>
            <w:vAlign w:val="center"/>
            <w:shd w:val="clear" w:color="auto" w:fill="F4F7F9"/>
          </w:tcPr>
          <w:p>
            <w:pPr>
              <w:spacing w:after="20"/>
            </w:pPr>
            <w:r/>
            <w:r>
              <w:rPr>
                <w:b w:val="0"/>
                <w:i w:val="0"/>
                <w:sz w:val="19"/>
              </w:rPr>
              <w:t>Instructor técnico</w:t>
            </w:r>
          </w:p>
        </w:tc>
      </w:tr>
      <w:tr>
        <w:tc>
          <w:tcPr>
            <w:tcW w:type="dxa" w:w="1814"/>
            <w:vAlign w:val="center"/>
          </w:tcPr>
          <w:p>
            <w:pPr>
              <w:spacing w:after="20"/>
            </w:pPr>
            <w:r/>
            <w:r>
              <w:rPr>
                <w:b w:val="0"/>
                <w:i w:val="0"/>
                <w:sz w:val="19"/>
              </w:rPr>
              <w:t>Reflexión inicial</w:t>
            </w:r>
          </w:p>
        </w:tc>
        <w:tc>
          <w:tcPr>
            <w:tcW w:type="dxa" w:w="1020"/>
            <w:vAlign w:val="center"/>
          </w:tcPr>
          <w:p>
            <w:pPr>
              <w:spacing w:after="20"/>
            </w:pPr>
            <w:r/>
            <w:r>
              <w:rPr>
                <w:b w:val="0"/>
                <w:i w:val="0"/>
                <w:sz w:val="19"/>
              </w:rPr>
              <w:t>40 min</w:t>
            </w:r>
          </w:p>
        </w:tc>
        <w:tc>
          <w:tcPr>
            <w:tcW w:type="dxa" w:w="5102"/>
            <w:vAlign w:val="center"/>
          </w:tcPr>
          <w:p>
            <w:pPr>
              <w:spacing w:after="20"/>
            </w:pPr>
            <w:r/>
            <w:r>
              <w:rPr>
                <w:b w:val="0"/>
                <w:i w:val="0"/>
                <w:sz w:val="19"/>
              </w:rPr>
              <w:t>Plenaria y presentación de la situación problémica de la guía (la parte cuantitativa la desarrolla el instructor de matemáticas en su sesión 01).</w:t>
            </w:r>
          </w:p>
        </w:tc>
        <w:tc>
          <w:tcPr>
            <w:tcW w:type="dxa" w:w="1814"/>
            <w:vAlign w:val="center"/>
          </w:tcPr>
          <w:p>
            <w:pPr>
              <w:spacing w:after="20"/>
            </w:pPr>
            <w:r/>
            <w:r>
              <w:rPr>
                <w:b w:val="0"/>
                <w:i w:val="0"/>
                <w:sz w:val="19"/>
              </w:rPr>
              <w:t>Instructor técnico</w:t>
            </w:r>
          </w:p>
        </w:tc>
      </w:tr>
      <w:tr>
        <w:tc>
          <w:tcPr>
            <w:tcW w:type="dxa" w:w="1814"/>
            <w:vAlign w:val="center"/>
            <w:shd w:val="clear" w:color="auto" w:fill="F4F7F9"/>
          </w:tcPr>
          <w:p>
            <w:pPr>
              <w:spacing w:after="20"/>
            </w:pPr>
            <w:r/>
            <w:r>
              <w:rPr>
                <w:b w:val="0"/>
                <w:i w:val="0"/>
                <w:sz w:val="19"/>
              </w:rPr>
              <w:t>Contextualización</w:t>
            </w:r>
          </w:p>
        </w:tc>
        <w:tc>
          <w:tcPr>
            <w:tcW w:type="dxa" w:w="1020"/>
            <w:vAlign w:val="center"/>
            <w:shd w:val="clear" w:color="auto" w:fill="F4F7F9"/>
          </w:tcPr>
          <w:p>
            <w:pPr>
              <w:spacing w:after="20"/>
            </w:pPr>
            <w:r/>
            <w:r>
              <w:rPr>
                <w:b w:val="0"/>
                <w:i w:val="0"/>
                <w:sz w:val="19"/>
              </w:rPr>
              <w:t>60 min</w:t>
            </w:r>
          </w:p>
        </w:tc>
        <w:tc>
          <w:tcPr>
            <w:tcW w:type="dxa" w:w="5102"/>
            <w:vAlign w:val="center"/>
            <w:shd w:val="clear" w:color="auto" w:fill="F4F7F9"/>
          </w:tcPr>
          <w:p>
            <w:pPr>
              <w:spacing w:after="20"/>
            </w:pPr>
            <w:r/>
            <w:r>
              <w:rPr>
                <w:b w:val="0"/>
                <w:i w:val="0"/>
                <w:sz w:val="19"/>
              </w:rPr>
              <w:t>Cuestionario diagnóstico interactivo y análisis de resultados.</w:t>
            </w:r>
          </w:p>
        </w:tc>
        <w:tc>
          <w:tcPr>
            <w:tcW w:type="dxa" w:w="1814"/>
            <w:vAlign w:val="center"/>
            <w:shd w:val="clear" w:color="auto" w:fill="F4F7F9"/>
          </w:tcPr>
          <w:p>
            <w:pPr>
              <w:spacing w:after="20"/>
            </w:pPr>
            <w:r/>
            <w:r>
              <w:rPr>
                <w:b w:val="0"/>
                <w:i w:val="0"/>
                <w:sz w:val="19"/>
              </w:rPr>
              <w:t>Instructor técnico</w:t>
            </w:r>
          </w:p>
        </w:tc>
      </w:tr>
      <w:tr>
        <w:tc>
          <w:tcPr>
            <w:tcW w:type="dxa" w:w="1814"/>
            <w:vAlign w:val="center"/>
          </w:tcPr>
          <w:p>
            <w:pPr>
              <w:spacing w:after="20"/>
            </w:pPr>
            <w:r/>
            <w:r>
              <w:rPr>
                <w:b w:val="0"/>
                <w:i w:val="0"/>
                <w:sz w:val="19"/>
              </w:rPr>
              <w:t>Contextualización</w:t>
            </w:r>
          </w:p>
        </w:tc>
        <w:tc>
          <w:tcPr>
            <w:tcW w:type="dxa" w:w="1020"/>
            <w:vAlign w:val="center"/>
          </w:tcPr>
          <w:p>
            <w:pPr>
              <w:spacing w:after="20"/>
            </w:pPr>
            <w:r/>
            <w:r>
              <w:rPr>
                <w:b w:val="0"/>
                <w:i w:val="0"/>
                <w:sz w:val="19"/>
              </w:rPr>
              <w:t>90 min</w:t>
            </w:r>
          </w:p>
        </w:tc>
        <w:tc>
          <w:tcPr>
            <w:tcW w:type="dxa" w:w="5102"/>
            <w:vAlign w:val="center"/>
          </w:tcPr>
          <w:p>
            <w:pPr>
              <w:spacing w:after="20"/>
            </w:pPr>
            <w:r/>
            <w:r>
              <w:rPr>
                <w:b w:val="0"/>
                <w:i w:val="0"/>
                <w:sz w:val="19"/>
              </w:rPr>
              <w:t>Preguntas dirigidas y construcción colectiva de conceptos clave.</w:t>
            </w:r>
          </w:p>
        </w:tc>
        <w:tc>
          <w:tcPr>
            <w:tcW w:type="dxa" w:w="1814"/>
            <w:vAlign w:val="center"/>
          </w:tcPr>
          <w:p>
            <w:pPr>
              <w:spacing w:after="20"/>
            </w:pPr>
            <w:r/>
            <w:r>
              <w:rPr>
                <w:b w:val="0"/>
                <w:i w:val="0"/>
                <w:sz w:val="19"/>
              </w:rPr>
              <w:t>Instructor técnico</w:t>
            </w:r>
          </w:p>
        </w:tc>
      </w:tr>
      <w:tr>
        <w:tc>
          <w:tcPr>
            <w:tcW w:type="dxa" w:w="1814"/>
            <w:vAlign w:val="center"/>
            <w:shd w:val="clear" w:color="auto" w:fill="F4F7F9"/>
          </w:tcPr>
          <w:p>
            <w:pPr>
              <w:spacing w:after="20"/>
            </w:pPr>
            <w:r/>
            <w:r>
              <w:rPr>
                <w:b w:val="0"/>
                <w:i w:val="0"/>
                <w:sz w:val="19"/>
              </w:rPr>
              <w:t>Contextualización</w:t>
            </w:r>
          </w:p>
        </w:tc>
        <w:tc>
          <w:tcPr>
            <w:tcW w:type="dxa" w:w="1020"/>
            <w:vAlign w:val="center"/>
            <w:shd w:val="clear" w:color="auto" w:fill="F4F7F9"/>
          </w:tcPr>
          <w:p>
            <w:pPr>
              <w:spacing w:after="20"/>
            </w:pPr>
            <w:r/>
            <w:r>
              <w:rPr>
                <w:b w:val="0"/>
                <w:i w:val="0"/>
                <w:sz w:val="19"/>
              </w:rPr>
              <w:t>150 min</w:t>
            </w:r>
          </w:p>
        </w:tc>
        <w:tc>
          <w:tcPr>
            <w:tcW w:type="dxa" w:w="5102"/>
            <w:vAlign w:val="center"/>
            <w:shd w:val="clear" w:color="auto" w:fill="F4F7F9"/>
          </w:tcPr>
          <w:p>
            <w:pPr>
              <w:spacing w:after="20"/>
            </w:pPr>
            <w:r/>
            <w:r>
              <w:rPr>
                <w:b w:val="0"/>
                <w:i w:val="0"/>
                <w:sz w:val="19"/>
              </w:rPr>
              <w:t>Mapa mental del proceso objeto de intervención (equipos de proyecto).</w:t>
            </w:r>
          </w:p>
        </w:tc>
        <w:tc>
          <w:tcPr>
            <w:tcW w:type="dxa" w:w="1814"/>
            <w:vAlign w:val="center"/>
            <w:shd w:val="clear" w:color="auto" w:fill="F4F7F9"/>
          </w:tcPr>
          <w:p>
            <w:pPr>
              <w:spacing w:after="20"/>
            </w:pPr>
            <w:r/>
            <w:r>
              <w:rPr>
                <w:b w:val="0"/>
                <w:i w:val="0"/>
                <w:sz w:val="19"/>
              </w:rPr>
              <w:t>Aprendices / instructor</w:t>
            </w:r>
          </w:p>
        </w:tc>
      </w:tr>
      <w:tr>
        <w:tc>
          <w:tcPr>
            <w:tcW w:type="dxa" w:w="1814"/>
            <w:vAlign w:val="center"/>
          </w:tcPr>
          <w:p>
            <w:pPr>
              <w:spacing w:after="20"/>
            </w:pPr>
            <w:r/>
            <w:r>
              <w:rPr>
                <w:b w:val="0"/>
                <w:i w:val="0"/>
                <w:sz w:val="19"/>
              </w:rPr>
              <w:t>Contextualización</w:t>
            </w:r>
          </w:p>
        </w:tc>
        <w:tc>
          <w:tcPr>
            <w:tcW w:type="dxa" w:w="1020"/>
            <w:vAlign w:val="center"/>
          </w:tcPr>
          <w:p>
            <w:pPr>
              <w:spacing w:after="20"/>
            </w:pPr>
            <w:r/>
            <w:r>
              <w:rPr>
                <w:b w:val="0"/>
                <w:i w:val="0"/>
                <w:sz w:val="19"/>
              </w:rPr>
              <w:t>60 min</w:t>
            </w:r>
          </w:p>
        </w:tc>
        <w:tc>
          <w:tcPr>
            <w:tcW w:type="dxa" w:w="5102"/>
            <w:vAlign w:val="center"/>
          </w:tcPr>
          <w:p>
            <w:pPr>
              <w:spacing w:after="20"/>
            </w:pPr>
            <w:r/>
            <w:r>
              <w:rPr>
                <w:b w:val="0"/>
                <w:i w:val="0"/>
                <w:sz w:val="19"/>
              </w:rPr>
              <w:t>Socialización de los mapas mentales, retroalimentación y cierre.</w:t>
            </w:r>
          </w:p>
        </w:tc>
        <w:tc>
          <w:tcPr>
            <w:tcW w:type="dxa" w:w="1814"/>
            <w:vAlign w:val="center"/>
          </w:tcPr>
          <w:p>
            <w:pPr>
              <w:spacing w:after="20"/>
            </w:pPr>
            <w:r/>
            <w:r>
              <w:rPr>
                <w:b w:val="0"/>
                <w:i w:val="0"/>
                <w:sz w:val="19"/>
              </w:rPr>
              <w:t>Instructor técnico</w:t>
            </w:r>
          </w:p>
        </w:tc>
      </w:tr>
    </w:tbl>
    <w:p>
      <w:pPr>
        <w:spacing w:after="40"/>
      </w:pPr>
    </w:p>
    <w:p>
      <w:pPr>
        <w:pStyle w:val="Heading1"/>
      </w:pPr>
      <w:r>
        <w:t>3. Desarrollo de las actividades</w:t>
      </w:r>
    </w:p>
    <w:p>
      <w:pPr>
        <w:pStyle w:val="Heading2"/>
      </w:pPr>
      <w:r>
        <w:t>3.1 Caso «el columpio del árbol»</w:t>
      </w:r>
    </w:p>
    <w:p>
      <w:pPr>
        <w:jc w:val="both"/>
      </w:pPr>
      <w:r>
        <w:rPr>
          <w:b/>
          <w:i w:val="0"/>
        </w:rPr>
        <w:t>Duración: 60 minutos · Modalidad: parejas · Estrategia: método de casos y lluvia de ideas</w:t>
      </w:r>
    </w:p>
    <w:p>
      <w:pPr>
        <w:jc w:val="both"/>
      </w:pPr>
      <w:r>
        <w:rPr>
          <w:b w:val="0"/>
          <w:i w:val="0"/>
        </w:rPr>
        <w:t>El instructor proyecta la secuencia gráfica conocida como «el columpio del árbol» (tree swing), en la que un mismo pedido del cliente se transforma a medida que pasa por el analista, el arquitecto, el programador y otros roles, hasta llegar a un producto que no corresponde a lo que el cliente necesitaba.</w:t>
      </w:r>
    </w:p>
    <w:p>
      <w:pPr>
        <w:spacing w:after="60"/>
        <w:ind w:left="425" w:hanging="340"/>
        <w:jc w:val="both"/>
      </w:pPr>
      <w:r>
        <w:rPr>
          <w:b/>
          <w:color w:val="39A900"/>
        </w:rPr>
        <w:t xml:space="preserve">1.  </w:t>
      </w:r>
      <w:r>
        <w:rPr>
          <w:b w:val="0"/>
          <w:i w:val="0"/>
        </w:rPr>
        <w:t>Observen con atención cada viñeta de la secuencia.</w:t>
      </w:r>
    </w:p>
    <w:p>
      <w:pPr>
        <w:spacing w:after="60"/>
        <w:ind w:left="425" w:hanging="340"/>
        <w:jc w:val="both"/>
      </w:pPr>
      <w:r>
        <w:rPr>
          <w:b/>
          <w:color w:val="39A900"/>
        </w:rPr>
        <w:t xml:space="preserve">2.  </w:t>
      </w:r>
      <w:r>
        <w:rPr>
          <w:b w:val="0"/>
          <w:i w:val="0"/>
        </w:rPr>
        <w:t>Diligencien en pareja la hoja de observación que aparece a continuación.</w:t>
      </w:r>
    </w:p>
    <w:p>
      <w:pPr>
        <w:spacing w:after="60"/>
        <w:ind w:left="425" w:hanging="340"/>
        <w:jc w:val="both"/>
      </w:pPr>
      <w:r>
        <w:rPr>
          <w:b/>
          <w:color w:val="39A900"/>
        </w:rPr>
        <w:t xml:space="preserve">3.  </w:t>
      </w:r>
      <w:r>
        <w:rPr>
          <w:b w:val="0"/>
          <w:i w:val="0"/>
        </w:rPr>
        <w:t>Seleccionen la viñeta en la que, según ustedes, se perdió más información y justifiquen su respuesta.</w:t>
      </w:r>
    </w:p>
    <w:p>
      <w:pPr>
        <w:spacing w:after="60"/>
        <w:ind w:left="425" w:hanging="340"/>
        <w:jc w:val="both"/>
      </w:pPr>
      <w:r>
        <w:rPr>
          <w:b/>
          <w:color w:val="39A900"/>
        </w:rPr>
        <w:t xml:space="preserve">4.  </w:t>
      </w:r>
      <w:r>
        <w:rPr>
          <w:b w:val="0"/>
          <w:i w:val="0"/>
        </w:rPr>
        <w:t>Propongan un artefacto o práctica de análisis que habría evitado el error en cada paso.</w:t>
      </w:r>
    </w:p>
    <w:p>
      <w:pPr>
        <w:pStyle w:val="Heading3"/>
      </w:pPr>
      <w:r>
        <w:t>Hoja de observación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814"/>
        <w:gridCol w:w="2608"/>
        <w:gridCol w:w="2608"/>
        <w:gridCol w:w="2721"/>
      </w:tblGrid>
      <w:tr>
        <w:trPr>
          <w:tblHeader w:val="true"/>
        </w:trPr>
        <w:tc>
          <w:tcPr>
            <w:tcW w:type="dxa" w:w="1814"/>
            <w:shd w:val="clear" w:color="auto" w:fill="00304D"/>
            <w:vAlign w:val="center"/>
          </w:tcPr>
          <w:p>
            <w:r/>
            <w:r>
              <w:rPr>
                <w:b/>
                <w:color w:val="FFFFFF"/>
                <w:sz w:val="20"/>
              </w:rPr>
              <w:t>Rol / viñeta</w:t>
            </w:r>
          </w:p>
        </w:tc>
        <w:tc>
          <w:tcPr>
            <w:tcW w:type="dxa" w:w="2608"/>
            <w:shd w:val="clear" w:color="auto" w:fill="00304D"/>
            <w:vAlign w:val="center"/>
          </w:tcPr>
          <w:p>
            <w:r/>
            <w:r>
              <w:rPr>
                <w:b/>
                <w:color w:val="FFFFFF"/>
                <w:sz w:val="20"/>
              </w:rPr>
              <w:t>¿Qué se entendió o construyó?</w:t>
            </w:r>
          </w:p>
        </w:tc>
        <w:tc>
          <w:tcPr>
            <w:tcW w:type="dxa" w:w="2608"/>
            <w:shd w:val="clear" w:color="auto" w:fill="00304D"/>
            <w:vAlign w:val="center"/>
          </w:tcPr>
          <w:p>
            <w:r/>
            <w:r>
              <w:rPr>
                <w:b/>
                <w:color w:val="FFFFFF"/>
                <w:sz w:val="20"/>
              </w:rPr>
              <w:t>¿Qué información se perdió o se supuso?</w:t>
            </w:r>
          </w:p>
        </w:tc>
        <w:tc>
          <w:tcPr>
            <w:tcW w:type="dxa" w:w="2721"/>
            <w:shd w:val="clear" w:color="auto" w:fill="00304D"/>
            <w:vAlign w:val="center"/>
          </w:tcPr>
          <w:p>
            <w:r/>
            <w:r>
              <w:rPr>
                <w:b/>
                <w:color w:val="FFFFFF"/>
                <w:sz w:val="20"/>
              </w:rPr>
              <w:t>Práctica o artefacto que lo habría evitado</w:t>
            </w:r>
          </w:p>
        </w:tc>
      </w:tr>
      <w:tr>
        <w:tc>
          <w:tcPr>
            <w:tcW w:type="dxa" w:w="1814"/>
            <w:vAlign w:val="center"/>
          </w:tcPr>
          <w:p>
            <w:pPr>
              <w:spacing w:after="20"/>
            </w:pPr>
            <w:r/>
            <w:r>
              <w:rPr>
                <w:b w:val="0"/>
                <w:i w:val="0"/>
                <w:sz w:val="20"/>
              </w:rPr>
              <w:t>Cliente</w:t>
            </w:r>
          </w:p>
        </w:tc>
        <w:tc>
          <w:tcPr>
            <w:tcW w:type="dxa" w:w="2608"/>
            <w:vAlign w:val="center"/>
          </w:tcPr>
          <w:p>
            <w:pPr>
              <w:spacing w:after="20"/>
            </w:pPr>
            <w:r/>
          </w:p>
        </w:tc>
        <w:tc>
          <w:tcPr>
            <w:tcW w:type="dxa" w:w="2608"/>
            <w:vAlign w:val="center"/>
          </w:tcPr>
          <w:p>
            <w:pPr>
              <w:spacing w:after="20"/>
            </w:pPr>
            <w:r/>
          </w:p>
        </w:tc>
        <w:tc>
          <w:tcPr>
            <w:tcW w:type="dxa" w:w="2721"/>
            <w:vAlign w:val="center"/>
          </w:tcPr>
          <w:p>
            <w:pPr>
              <w:spacing w:after="20"/>
            </w:pPr>
            <w:r/>
          </w:p>
        </w:tc>
      </w:tr>
      <w:tr>
        <w:tc>
          <w:tcPr>
            <w:tcW w:type="dxa" w:w="1814"/>
            <w:vAlign w:val="center"/>
            <w:shd w:val="clear" w:color="auto" w:fill="F4F7F9"/>
          </w:tcPr>
          <w:p>
            <w:pPr>
              <w:spacing w:after="20"/>
            </w:pPr>
            <w:r/>
            <w:r>
              <w:rPr>
                <w:b w:val="0"/>
                <w:i w:val="0"/>
                <w:sz w:val="20"/>
              </w:rPr>
              <w:t>Analista</w:t>
            </w:r>
          </w:p>
        </w:tc>
        <w:tc>
          <w:tcPr>
            <w:tcW w:type="dxa" w:w="2608"/>
            <w:vAlign w:val="center"/>
            <w:shd w:val="clear" w:color="auto" w:fill="F4F7F9"/>
          </w:tcPr>
          <w:p>
            <w:pPr>
              <w:spacing w:after="20"/>
            </w:pPr>
            <w:r/>
          </w:p>
        </w:tc>
        <w:tc>
          <w:tcPr>
            <w:tcW w:type="dxa" w:w="2608"/>
            <w:vAlign w:val="center"/>
            <w:shd w:val="clear" w:color="auto" w:fill="F4F7F9"/>
          </w:tcPr>
          <w:p>
            <w:pPr>
              <w:spacing w:after="20"/>
            </w:pPr>
            <w:r/>
          </w:p>
        </w:tc>
        <w:tc>
          <w:tcPr>
            <w:tcW w:type="dxa" w:w="2721"/>
            <w:vAlign w:val="center"/>
            <w:shd w:val="clear" w:color="auto" w:fill="F4F7F9"/>
          </w:tcPr>
          <w:p>
            <w:pPr>
              <w:spacing w:after="20"/>
            </w:pPr>
            <w:r/>
          </w:p>
        </w:tc>
      </w:tr>
      <w:tr>
        <w:tc>
          <w:tcPr>
            <w:tcW w:type="dxa" w:w="1814"/>
            <w:vAlign w:val="center"/>
          </w:tcPr>
          <w:p>
            <w:pPr>
              <w:spacing w:after="20"/>
            </w:pPr>
            <w:r/>
            <w:r>
              <w:rPr>
                <w:b w:val="0"/>
                <w:i w:val="0"/>
                <w:sz w:val="20"/>
              </w:rPr>
              <w:t>Arquitecto / diseñador</w:t>
            </w:r>
          </w:p>
        </w:tc>
        <w:tc>
          <w:tcPr>
            <w:tcW w:type="dxa" w:w="2608"/>
            <w:vAlign w:val="center"/>
          </w:tcPr>
          <w:p>
            <w:pPr>
              <w:spacing w:after="20"/>
            </w:pPr>
            <w:r/>
          </w:p>
        </w:tc>
        <w:tc>
          <w:tcPr>
            <w:tcW w:type="dxa" w:w="2608"/>
            <w:vAlign w:val="center"/>
          </w:tcPr>
          <w:p>
            <w:pPr>
              <w:spacing w:after="20"/>
            </w:pPr>
            <w:r/>
          </w:p>
        </w:tc>
        <w:tc>
          <w:tcPr>
            <w:tcW w:type="dxa" w:w="2721"/>
            <w:vAlign w:val="center"/>
          </w:tcPr>
          <w:p>
            <w:pPr>
              <w:spacing w:after="20"/>
            </w:pPr>
            <w:r/>
          </w:p>
        </w:tc>
      </w:tr>
      <w:tr>
        <w:tc>
          <w:tcPr>
            <w:tcW w:type="dxa" w:w="1814"/>
            <w:vAlign w:val="center"/>
            <w:shd w:val="clear" w:color="auto" w:fill="F4F7F9"/>
          </w:tcPr>
          <w:p>
            <w:pPr>
              <w:spacing w:after="20"/>
            </w:pPr>
            <w:r/>
            <w:r>
              <w:rPr>
                <w:b w:val="0"/>
                <w:i w:val="0"/>
                <w:sz w:val="20"/>
              </w:rPr>
              <w:t>Programador</w:t>
            </w:r>
          </w:p>
        </w:tc>
        <w:tc>
          <w:tcPr>
            <w:tcW w:type="dxa" w:w="2608"/>
            <w:vAlign w:val="center"/>
            <w:shd w:val="clear" w:color="auto" w:fill="F4F7F9"/>
          </w:tcPr>
          <w:p>
            <w:pPr>
              <w:spacing w:after="20"/>
            </w:pPr>
            <w:r/>
          </w:p>
        </w:tc>
        <w:tc>
          <w:tcPr>
            <w:tcW w:type="dxa" w:w="2608"/>
            <w:vAlign w:val="center"/>
            <w:shd w:val="clear" w:color="auto" w:fill="F4F7F9"/>
          </w:tcPr>
          <w:p>
            <w:pPr>
              <w:spacing w:after="20"/>
            </w:pPr>
            <w:r/>
          </w:p>
        </w:tc>
        <w:tc>
          <w:tcPr>
            <w:tcW w:type="dxa" w:w="2721"/>
            <w:vAlign w:val="center"/>
            <w:shd w:val="clear" w:color="auto" w:fill="F4F7F9"/>
          </w:tcPr>
          <w:p>
            <w:pPr>
              <w:spacing w:after="20"/>
            </w:pPr>
            <w:r/>
          </w:p>
        </w:tc>
      </w:tr>
      <w:tr>
        <w:tc>
          <w:tcPr>
            <w:tcW w:type="dxa" w:w="1814"/>
            <w:vAlign w:val="center"/>
          </w:tcPr>
          <w:p>
            <w:pPr>
              <w:spacing w:after="20"/>
            </w:pPr>
            <w:r/>
            <w:r>
              <w:rPr>
                <w:b w:val="0"/>
                <w:i w:val="0"/>
                <w:sz w:val="20"/>
              </w:rPr>
              <w:t>Lo que el cliente necesitaba</w:t>
            </w:r>
          </w:p>
        </w:tc>
        <w:tc>
          <w:tcPr>
            <w:tcW w:type="dxa" w:w="2608"/>
            <w:vAlign w:val="center"/>
          </w:tcPr>
          <w:p>
            <w:pPr>
              <w:spacing w:after="20"/>
            </w:pPr>
            <w:r/>
          </w:p>
        </w:tc>
        <w:tc>
          <w:tcPr>
            <w:tcW w:type="dxa" w:w="2608"/>
            <w:vAlign w:val="center"/>
          </w:tcPr>
          <w:p>
            <w:pPr>
              <w:spacing w:after="20"/>
            </w:pPr>
            <w:r/>
          </w:p>
        </w:tc>
        <w:tc>
          <w:tcPr>
            <w:tcW w:type="dxa" w:w="2721"/>
            <w:vAlign w:val="center"/>
          </w:tcPr>
          <w:p>
            <w:pPr>
              <w:spacing w:after="20"/>
            </w:pPr>
            <w:r/>
          </w:p>
        </w:tc>
      </w:tr>
    </w:tbl>
    <w:p>
      <w:pPr>
        <w:spacing w:after="40"/>
      </w:pPr>
    </w:p>
    <w:p>
      <w:pPr>
        <w:jc w:val="both"/>
      </w:pPr>
      <w:r>
        <w:rPr>
          <w:b/>
          <w:i w:val="0"/>
        </w:rPr>
        <w:t>Preguntas para la plenaria:</w:t>
      </w:r>
      <w:r>
        <w:rPr>
          <w:b w:val="0"/>
          <w:i w:val="0"/>
        </w:rPr>
        <w:t xml:space="preserve"> ¿Por qué fallan los proyectos de software cuando los requisitos no se analizan? ¿Qué papel cumplen los diagramas y modelos para que el cliente y el equipo «hablen el mismo idioma»? ¿Qué decisiones del software dependen de cálculos, medidas o datos del proceso?</w:t>
      </w:r>
    </w:p>
    <w:p>
      <w:pPr>
        <w:pStyle w:val="Heading2"/>
      </w:pPr>
      <w:r>
        <w:t>3.2 Situación problémica de la guía</w:t>
      </w:r>
    </w:p>
    <w:p>
      <w:pPr>
        <w:jc w:val="both"/>
      </w:pPr>
      <w:r>
        <w:rPr>
          <w:b/>
          <w:i w:val="0"/>
        </w:rPr>
        <w:t>Duración: 40 minutos · Modalidad: plenaria</w:t>
      </w:r>
    </w:p>
    <w:p>
      <w:pPr>
        <w:jc w:val="both"/>
      </w:pPr>
      <w:r>
        <w:rPr>
          <w:b w:val="0"/>
          <w:i w:val="0"/>
        </w:rPr>
        <w:t>«Su equipo ya cuenta con la información recolectada del proceso objeto de intervención, pero aún no tiene un plan de análisis, ni modelos que representen las funciones del software, ni la lógica que soportará sus reglas de negocio, ni una forma de demostrar que lo modelado corresponde a lo que el cliente pidió. ¿Cómo planear, modelar, construir la lógica y verificar el análisis de la solución de software, apoyándose en modelos matemáticos que hagan precisos y medibles sus requisitos?»</w:t>
      </w:r>
    </w:p>
    <w:p>
      <w:pPr>
        <w:jc w:val="both"/>
      </w:pPr>
      <w:r>
        <w:rPr>
          <w:b w:val="0"/>
          <w:i w:val="0"/>
        </w:rPr>
        <w:t>Cada equipo copia la situación problémica en su bitácora de proyecto y escribe, en máximo cinco líneas, cuál cree que será el mayor reto de su equipo para resolverla.</w:t>
      </w:r>
    </w:p>
    <w:p>
      <w:pPr>
        <w:pStyle w:val="Heading2"/>
      </w:pPr>
      <w:r>
        <w:t>3.3 Cuestionario diagnóstico interactivo</w:t>
      </w:r>
    </w:p>
    <w:p>
      <w:pPr>
        <w:jc w:val="both"/>
      </w:pPr>
      <w:r>
        <w:rPr>
          <w:b/>
          <w:i w:val="0"/>
        </w:rPr>
        <w:t>Duración: 60 minutos · Modalidad: individual · Estrategia: cuestionario diagnóstico</w:t>
      </w:r>
    </w:p>
    <w:p>
      <w:pPr>
        <w:jc w:val="both"/>
      </w:pPr>
      <w:r>
        <w:rPr>
          <w:b w:val="0"/>
          <w:i w:val="0"/>
        </w:rPr>
        <w:t>El instructor carga en Kahoot, Quizizz o Google Forms las 15 preguntas del Instrumento 1 (ver archivo de instrumentos de evaluación). Los aprendices responden individualmente y sin consultar. Al finalizar, se analizan en grupo las preguntas con menor porcentaje de acierto.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551"/>
        <w:gridCol w:w="5386"/>
        <w:gridCol w:w="1814"/>
      </w:tblGrid>
      <w:tr>
        <w:trPr>
          <w:tblHeader w:val="true"/>
        </w:trPr>
        <w:tc>
          <w:tcPr>
            <w:tcW w:type="dxa" w:w="2551"/>
            <w:shd w:val="clear" w:color="auto" w:fill="00304D"/>
            <w:vAlign w:val="center"/>
          </w:tcPr>
          <w:p>
            <w:r/>
            <w:r>
              <w:rPr>
                <w:b/>
                <w:color w:val="FFFFFF"/>
                <w:sz w:val="20"/>
              </w:rPr>
              <w:t>Bloque</w:t>
            </w:r>
          </w:p>
        </w:tc>
        <w:tc>
          <w:tcPr>
            <w:tcW w:type="dxa" w:w="5386"/>
            <w:shd w:val="clear" w:color="auto" w:fill="00304D"/>
            <w:vAlign w:val="center"/>
          </w:tcPr>
          <w:p>
            <w:r/>
            <w:r>
              <w:rPr>
                <w:b/>
                <w:color w:val="FFFFFF"/>
                <w:sz w:val="20"/>
              </w:rPr>
              <w:t>Temas que explora</w:t>
            </w:r>
          </w:p>
        </w:tc>
        <w:tc>
          <w:tcPr>
            <w:tcW w:type="dxa" w:w="1814"/>
            <w:shd w:val="clear" w:color="auto" w:fill="00304D"/>
            <w:vAlign w:val="center"/>
          </w:tcPr>
          <w:p>
            <w:r/>
            <w:r>
              <w:rPr>
                <w:b/>
                <w:color w:val="FFFFFF"/>
                <w:sz w:val="20"/>
              </w:rPr>
              <w:t>Preguntas</w:t>
            </w:r>
          </w:p>
        </w:tc>
      </w:tr>
      <w:tr>
        <w:tc>
          <w:tcPr>
            <w:tcW w:type="dxa" w:w="2551"/>
            <w:vAlign w:val="center"/>
          </w:tcPr>
          <w:p>
            <w:pPr>
              <w:spacing w:after="20"/>
            </w:pPr>
            <w:r/>
            <w:r>
              <w:rPr>
                <w:b w:val="0"/>
                <w:i w:val="0"/>
                <w:sz w:val="20"/>
              </w:rPr>
              <w:t>Ciclo de vida y requisitos</w:t>
            </w:r>
          </w:p>
        </w:tc>
        <w:tc>
          <w:tcPr>
            <w:tcW w:type="dxa" w:w="5386"/>
            <w:vAlign w:val="center"/>
          </w:tcPr>
          <w:p>
            <w:pPr>
              <w:spacing w:after="20"/>
            </w:pPr>
            <w:r/>
            <w:r>
              <w:rPr>
                <w:b w:val="0"/>
                <w:i w:val="0"/>
                <w:sz w:val="20"/>
              </w:rPr>
              <w:t>Fases del ciclo de vida, requisitos funcionales y no funcionales</w:t>
            </w:r>
          </w:p>
        </w:tc>
        <w:tc>
          <w:tcPr>
            <w:tcW w:type="dxa" w:w="1814"/>
            <w:vAlign w:val="center"/>
          </w:tcPr>
          <w:p>
            <w:pPr>
              <w:spacing w:after="20"/>
            </w:pPr>
            <w:r/>
            <w:r>
              <w:rPr>
                <w:b w:val="0"/>
                <w:i w:val="0"/>
                <w:sz w:val="20"/>
              </w:rPr>
              <w:t>1 a 4</w:t>
            </w:r>
          </w:p>
        </w:tc>
      </w:tr>
      <w:tr>
        <w:tc>
          <w:tcPr>
            <w:tcW w:type="dxa" w:w="2551"/>
            <w:vAlign w:val="center"/>
            <w:shd w:val="clear" w:color="auto" w:fill="F4F7F9"/>
          </w:tcPr>
          <w:p>
            <w:pPr>
              <w:spacing w:after="20"/>
            </w:pPr>
            <w:r/>
            <w:r>
              <w:rPr>
                <w:b w:val="0"/>
                <w:i w:val="0"/>
                <w:sz w:val="20"/>
              </w:rPr>
              <w:t>Metodologías</w:t>
            </w:r>
          </w:p>
        </w:tc>
        <w:tc>
          <w:tcPr>
            <w:tcW w:type="dxa" w:w="5386"/>
            <w:vAlign w:val="center"/>
            <w:shd w:val="clear" w:color="auto" w:fill="F4F7F9"/>
          </w:tcPr>
          <w:p>
            <w:pPr>
              <w:spacing w:after="20"/>
            </w:pPr>
            <w:r/>
            <w:r>
              <w:rPr>
                <w:b w:val="0"/>
                <w:i w:val="0"/>
                <w:sz w:val="20"/>
              </w:rPr>
              <w:t>Tradicionales y ágiles, roles y artefactos</w:t>
            </w:r>
          </w:p>
        </w:tc>
        <w:tc>
          <w:tcPr>
            <w:tcW w:type="dxa" w:w="1814"/>
            <w:vAlign w:val="center"/>
            <w:shd w:val="clear" w:color="auto" w:fill="F4F7F9"/>
          </w:tcPr>
          <w:p>
            <w:pPr>
              <w:spacing w:after="20"/>
            </w:pPr>
            <w:r/>
            <w:r>
              <w:rPr>
                <w:b w:val="0"/>
                <w:i w:val="0"/>
                <w:sz w:val="20"/>
              </w:rPr>
              <w:t>5 a 8</w:t>
            </w:r>
          </w:p>
        </w:tc>
      </w:tr>
      <w:tr>
        <w:tc>
          <w:tcPr>
            <w:tcW w:type="dxa" w:w="2551"/>
            <w:vAlign w:val="center"/>
          </w:tcPr>
          <w:p>
            <w:pPr>
              <w:spacing w:after="20"/>
            </w:pPr>
            <w:r/>
            <w:r>
              <w:rPr>
                <w:b w:val="0"/>
                <w:i w:val="0"/>
                <w:sz w:val="20"/>
              </w:rPr>
              <w:t>UML</w:t>
            </w:r>
          </w:p>
        </w:tc>
        <w:tc>
          <w:tcPr>
            <w:tcW w:type="dxa" w:w="5386"/>
            <w:vAlign w:val="center"/>
          </w:tcPr>
          <w:p>
            <w:pPr>
              <w:spacing w:after="20"/>
            </w:pPr>
            <w:r/>
            <w:r>
              <w:rPr>
                <w:b w:val="0"/>
                <w:i w:val="0"/>
                <w:sz w:val="20"/>
              </w:rPr>
              <w:t>Casos de uso, actores, diagramas</w:t>
            </w:r>
          </w:p>
        </w:tc>
        <w:tc>
          <w:tcPr>
            <w:tcW w:type="dxa" w:w="1814"/>
            <w:vAlign w:val="center"/>
          </w:tcPr>
          <w:p>
            <w:pPr>
              <w:spacing w:after="20"/>
            </w:pPr>
            <w:r/>
            <w:r>
              <w:rPr>
                <w:b w:val="0"/>
                <w:i w:val="0"/>
                <w:sz w:val="20"/>
              </w:rPr>
              <w:t>9 a 11</w:t>
            </w:r>
          </w:p>
        </w:tc>
      </w:tr>
      <w:tr>
        <w:tc>
          <w:tcPr>
            <w:tcW w:type="dxa" w:w="2551"/>
            <w:vAlign w:val="center"/>
            <w:shd w:val="clear" w:color="auto" w:fill="F4F7F9"/>
          </w:tcPr>
          <w:p>
            <w:pPr>
              <w:spacing w:after="20"/>
            </w:pPr>
            <w:r/>
            <w:r>
              <w:rPr>
                <w:b w:val="0"/>
                <w:i w:val="0"/>
                <w:sz w:val="20"/>
              </w:rPr>
              <w:t>Algoritmos</w:t>
            </w:r>
          </w:p>
        </w:tc>
        <w:tc>
          <w:tcPr>
            <w:tcW w:type="dxa" w:w="5386"/>
            <w:vAlign w:val="center"/>
            <w:shd w:val="clear" w:color="auto" w:fill="F4F7F9"/>
          </w:tcPr>
          <w:p>
            <w:pPr>
              <w:spacing w:after="20"/>
            </w:pPr>
            <w:r/>
            <w:r>
              <w:rPr>
                <w:b w:val="0"/>
                <w:i w:val="0"/>
                <w:sz w:val="20"/>
              </w:rPr>
              <w:t>Concepto, estructuras de control, pseudocódigo</w:t>
            </w:r>
          </w:p>
        </w:tc>
        <w:tc>
          <w:tcPr>
            <w:tcW w:type="dxa" w:w="1814"/>
            <w:vAlign w:val="center"/>
            <w:shd w:val="clear" w:color="auto" w:fill="F4F7F9"/>
          </w:tcPr>
          <w:p>
            <w:pPr>
              <w:spacing w:after="20"/>
            </w:pPr>
            <w:r/>
            <w:r>
              <w:rPr>
                <w:b w:val="0"/>
                <w:i w:val="0"/>
                <w:sz w:val="20"/>
              </w:rPr>
              <w:t>12 a 15</w:t>
            </w:r>
          </w:p>
        </w:tc>
      </w:tr>
    </w:tbl>
    <w:p>
      <w:pPr>
        <w:spacing w:after="40"/>
      </w:pPr>
    </w:p>
    <w:tbl>
      <w:tblPr>
        <w:tblW w:type="dxa" w:w="9752"/>
        <w:jc w:val="center"/>
        <w:tblLayout w:type="fixed"/>
        <w:tblLook w:firstColumn="1" w:firstRow="1" w:lastColumn="0" w:lastRow="0" w:noHBand="0" w:noVBand="1" w:val="04A0"/>
        <w:tblBorders>
          <w:top w:val="single" w:sz="4" w:space="0" w:color="39A900"/>
          <w:left w:val="single" w:sz="4" w:space="0" w:color="39A900"/>
          <w:bottom w:val="single" w:sz="4" w:space="0" w:color="39A900"/>
          <w:right w:val="single" w:sz="4" w:space="0" w:color="39A900"/>
          <w:insideH w:val="single" w:sz="4" w:space="0" w:color="39A900"/>
          <w:insideV w:val="single" w:sz="4" w:space="0" w:color="39A900"/>
        </w:tblBorders>
        <w:tblLayout w:type="fixed"/>
      </w:tblPr>
      <w:tblGrid>
        <w:gridCol w:w="9752"/>
      </w:tblGrid>
      <w:tr>
        <w:tc>
          <w:tcPr>
            <w:tcW w:type="dxa" w:w="9751"/>
            <w:shd w:val="clear" w:color="auto" w:fill="EEF5EA"/>
          </w:tcPr>
          <w:p>
            <w:r/>
            <w:r>
              <w:rPr>
                <w:b/>
                <w:color w:val="00304D"/>
                <w:sz w:val="20"/>
              </w:rPr>
              <w:t xml:space="preserve">Nota para el instructor: </w:t>
            </w:r>
            <w:r>
              <w:rPr>
                <w:b w:val="0"/>
                <w:i w:val="0"/>
                <w:sz w:val="20"/>
              </w:rPr>
              <w:t>Exporte los resultados (porcentaje de acierto por pregunta) y guárdelos como línea de base del grupo. Repita las mismas preguntas al finalizar la guía para evidenciar el avance.</w:t>
            </w:r>
          </w:p>
        </w:tc>
      </w:tr>
    </w:tbl>
    <w:p>
      <w:pPr>
        <w:spacing w:after="40"/>
      </w:pPr>
    </w:p>
    <w:p>
      <w:pPr>
        <w:pStyle w:val="Heading2"/>
      </w:pPr>
      <w:r>
        <w:t>3.4 Preguntas dirigidas</w:t>
      </w:r>
    </w:p>
    <w:p>
      <w:pPr>
        <w:jc w:val="both"/>
      </w:pPr>
      <w:r>
        <w:rPr>
          <w:b/>
          <w:i w:val="0"/>
        </w:rPr>
        <w:t>Duración: 90 minutos · Modalidad: plenaria y parejas</w:t>
      </w:r>
    </w:p>
    <w:p>
      <w:pPr>
        <w:spacing w:after="60"/>
        <w:ind w:left="425" w:hanging="340"/>
        <w:jc w:val="both"/>
      </w:pPr>
      <w:r>
        <w:rPr>
          <w:b/>
          <w:color w:val="39A900"/>
        </w:rPr>
        <w:t xml:space="preserve">1.  </w:t>
      </w:r>
      <w:r>
        <w:rPr>
          <w:b w:val="0"/>
          <w:i w:val="0"/>
        </w:rPr>
        <w:t>¿Qué diferencia existe entre un requisito y una función del software?</w:t>
      </w:r>
    </w:p>
    <w:p>
      <w:pPr>
        <w:spacing w:after="60"/>
        <w:ind w:left="425" w:hanging="340"/>
        <w:jc w:val="both"/>
      </w:pPr>
      <w:r>
        <w:rPr>
          <w:b/>
          <w:color w:val="39A900"/>
        </w:rPr>
        <w:t xml:space="preserve">2.  </w:t>
      </w:r>
      <w:r>
        <w:rPr>
          <w:b w:val="0"/>
          <w:i w:val="0"/>
        </w:rPr>
        <w:t>¿Qué es una metodología de desarrollo y por qué no sirve la misma para todos los proyectos?</w:t>
      </w:r>
    </w:p>
    <w:p>
      <w:pPr>
        <w:spacing w:after="60"/>
        <w:ind w:left="425" w:hanging="340"/>
        <w:jc w:val="both"/>
      </w:pPr>
      <w:r>
        <w:rPr>
          <w:b/>
          <w:color w:val="39A900"/>
        </w:rPr>
        <w:t xml:space="preserve">3.  </w:t>
      </w:r>
      <w:r>
        <w:rPr>
          <w:b w:val="0"/>
          <w:i w:val="0"/>
        </w:rPr>
        <w:t>¿Cómo se representa lo que hace un sistema sin escribir código?</w:t>
      </w:r>
    </w:p>
    <w:p>
      <w:pPr>
        <w:spacing w:after="60"/>
        <w:ind w:left="425" w:hanging="340"/>
        <w:jc w:val="both"/>
      </w:pPr>
      <w:r>
        <w:rPr>
          <w:b/>
          <w:color w:val="39A900"/>
        </w:rPr>
        <w:t xml:space="preserve">4.  </w:t>
      </w:r>
      <w:r>
        <w:rPr>
          <w:b w:val="0"/>
          <w:i w:val="0"/>
        </w:rPr>
        <w:t>¿Qué variables numéricas del proceso que estudiamos (tiempos, cantidades, costos, medidas) deben ser procesadas por el software?</w:t>
      </w:r>
    </w:p>
    <w:p>
      <w:pPr>
        <w:jc w:val="both"/>
      </w:pPr>
      <w:r>
        <w:rPr>
          <w:b w:val="0"/>
          <w:i w:val="0"/>
        </w:rPr>
        <w:t>Cada pareja discute una pregunta durante 10 minutos y la socializa. El instructor consolida en el tablero un glosario inicial con los términos que surjan (requisito, actor, caso de uso, metodología, algoritmo, regla de negocio, variable).</w:t>
      </w:r>
    </w:p>
    <w:p>
      <w:pPr>
        <w:pStyle w:val="Heading2"/>
      </w:pPr>
      <w:r>
        <w:t>3.5 Mapa mental del proceso objeto de intervención</w:t>
      </w:r>
    </w:p>
    <w:p>
      <w:pPr>
        <w:jc w:val="both"/>
      </w:pPr>
      <w:r>
        <w:rPr>
          <w:b/>
          <w:i w:val="0"/>
        </w:rPr>
        <w:t>Duración: 150 minutos · Modalidad: equipo de proyecto · Estrategia: mapa mental y trabajo colaborativo</w:t>
      </w:r>
    </w:p>
    <w:p>
      <w:pPr>
        <w:jc w:val="both"/>
      </w:pPr>
      <w:r>
        <w:rPr>
          <w:b w:val="0"/>
          <w:i w:val="0"/>
        </w:rPr>
        <w:t>Con base en el informe de requisitos y la información recolectada en la actividad de aprendizaje anterior, cada equipo construye un mapa mental del proceso objeto de intervención.</w:t>
      </w:r>
    </w:p>
    <w:p>
      <w:pPr>
        <w:spacing w:after="60"/>
        <w:ind w:left="425" w:hanging="340"/>
        <w:jc w:val="both"/>
      </w:pPr>
      <w:r>
        <w:rPr>
          <w:b/>
          <w:color w:val="39A900"/>
        </w:rPr>
        <w:t xml:space="preserve">1.  </w:t>
      </w:r>
      <w:r>
        <w:rPr>
          <w:b w:val="0"/>
          <w:i w:val="0"/>
        </w:rPr>
        <w:t>Ubiquen en el centro el nombre del proceso intervenido y de la organización.</w:t>
      </w:r>
    </w:p>
    <w:p>
      <w:pPr>
        <w:spacing w:after="60"/>
        <w:ind w:left="425" w:hanging="340"/>
        <w:jc w:val="both"/>
      </w:pPr>
      <w:r>
        <w:rPr>
          <w:b/>
          <w:color w:val="39A900"/>
        </w:rPr>
        <w:t xml:space="preserve">2.  </w:t>
      </w:r>
      <w:r>
        <w:rPr>
          <w:b w:val="0"/>
          <w:i w:val="0"/>
        </w:rPr>
        <w:t xml:space="preserve">Rama 1 – </w:t>
      </w:r>
      <w:r>
        <w:rPr>
          <w:b/>
          <w:i w:val="0"/>
        </w:rPr>
        <w:t>Actores</w:t>
      </w:r>
      <w:r>
        <w:rPr>
          <w:b w:val="0"/>
          <w:i w:val="0"/>
        </w:rPr>
        <w:t>: personas, roles o sistemas que interactúan con el proceso (mínimo 3).</w:t>
      </w:r>
    </w:p>
    <w:p>
      <w:pPr>
        <w:spacing w:after="60"/>
        <w:ind w:left="425" w:hanging="340"/>
        <w:jc w:val="both"/>
      </w:pPr>
      <w:r>
        <w:rPr>
          <w:b/>
          <w:color w:val="39A900"/>
        </w:rPr>
        <w:t xml:space="preserve">3.  </w:t>
      </w:r>
      <w:r>
        <w:rPr>
          <w:b w:val="0"/>
          <w:i w:val="0"/>
        </w:rPr>
        <w:t xml:space="preserve">Rama 2 – </w:t>
      </w:r>
      <w:r>
        <w:rPr>
          <w:b/>
          <w:i w:val="0"/>
        </w:rPr>
        <w:t>Funciones del software</w:t>
      </w:r>
      <w:r>
        <w:rPr>
          <w:b w:val="0"/>
          <w:i w:val="0"/>
        </w:rPr>
        <w:t>: lo que el sistema debe hacer (mínimo 6).</w:t>
      </w:r>
    </w:p>
    <w:p>
      <w:pPr>
        <w:spacing w:after="60"/>
        <w:ind w:left="425" w:hanging="340"/>
        <w:jc w:val="both"/>
      </w:pPr>
      <w:r>
        <w:rPr>
          <w:b/>
          <w:color w:val="39A900"/>
        </w:rPr>
        <w:t xml:space="preserve">4.  </w:t>
      </w:r>
      <w:r>
        <w:rPr>
          <w:b w:val="0"/>
          <w:i w:val="0"/>
        </w:rPr>
        <w:t xml:space="preserve">Rama 3 – </w:t>
      </w:r>
      <w:r>
        <w:rPr>
          <w:b/>
          <w:i w:val="0"/>
        </w:rPr>
        <w:t>Reglas de negocio</w:t>
      </w:r>
      <w:r>
        <w:rPr>
          <w:b w:val="0"/>
          <w:i w:val="0"/>
        </w:rPr>
        <w:t>: condiciones, cálculos y restricciones del proceso (mínimo 3).</w:t>
      </w:r>
    </w:p>
    <w:p>
      <w:pPr>
        <w:spacing w:after="60"/>
        <w:ind w:left="425" w:hanging="340"/>
        <w:jc w:val="both"/>
      </w:pPr>
      <w:r>
        <w:rPr>
          <w:b/>
          <w:color w:val="39A900"/>
        </w:rPr>
        <w:t xml:space="preserve">5.  </w:t>
      </w:r>
      <w:r>
        <w:rPr>
          <w:b w:val="0"/>
          <w:i w:val="0"/>
        </w:rPr>
        <w:t xml:space="preserve">Rama 4 – </w:t>
      </w:r>
      <w:r>
        <w:rPr>
          <w:b/>
          <w:i w:val="0"/>
        </w:rPr>
        <w:t>Variables cuantitativas</w:t>
      </w:r>
      <w:r>
        <w:rPr>
          <w:b w:val="0"/>
          <w:i w:val="0"/>
        </w:rPr>
        <w:t>: tiempos, cantidades, costos, medidas, frecuencias (mínimo 4), con su unidad.</w:t>
      </w:r>
    </w:p>
    <w:p>
      <w:pPr>
        <w:spacing w:after="60"/>
        <w:ind w:left="425" w:hanging="340"/>
        <w:jc w:val="both"/>
      </w:pPr>
      <w:r>
        <w:rPr>
          <w:b/>
          <w:color w:val="39A900"/>
        </w:rPr>
        <w:t xml:space="preserve">6.  </w:t>
      </w:r>
      <w:r>
        <w:rPr>
          <w:b w:val="0"/>
          <w:i w:val="0"/>
        </w:rPr>
        <w:t>Conecten con líneas los elementos relacionados entre ramas.</w:t>
      </w:r>
    </w:p>
    <w:p>
      <w:pPr>
        <w:spacing w:after="60"/>
        <w:ind w:left="425" w:hanging="340"/>
        <w:jc w:val="both"/>
      </w:pPr>
      <w:r>
        <w:rPr>
          <w:b/>
          <w:color w:val="39A900"/>
        </w:rPr>
        <w:t xml:space="preserve">7.  </w:t>
      </w:r>
      <w:r>
        <w:rPr>
          <w:b w:val="0"/>
          <w:i w:val="0"/>
        </w:rPr>
        <w:t>Socialicen el mapa en 5 minutos.</w:t>
      </w:r>
    </w:p>
    <w:tbl>
      <w:tblPr>
        <w:tblW w:type="dxa" w:w="9752"/>
        <w:jc w:val="center"/>
        <w:tblLayout w:type="fixed"/>
        <w:tblLook w:firstColumn="1" w:firstRow="1" w:lastColumn="0" w:lastRow="0" w:noHBand="0" w:noVBand="1" w:val="04A0"/>
        <w:tblBorders>
          <w:top w:val="single" w:sz="4" w:space="0" w:color="39A900"/>
          <w:left w:val="single" w:sz="4" w:space="0" w:color="39A900"/>
          <w:bottom w:val="single" w:sz="4" w:space="0" w:color="39A900"/>
          <w:right w:val="single" w:sz="4" w:space="0" w:color="39A900"/>
          <w:insideH w:val="single" w:sz="4" w:space="0" w:color="39A900"/>
          <w:insideV w:val="single" w:sz="4" w:space="0" w:color="39A900"/>
        </w:tblBorders>
        <w:tblLayout w:type="fixed"/>
      </w:tblPr>
      <w:tblGrid>
        <w:gridCol w:w="9752"/>
      </w:tblGrid>
      <w:tr>
        <w:tc>
          <w:tcPr>
            <w:tcW w:type="dxa" w:w="9751"/>
            <w:shd w:val="clear" w:color="auto" w:fill="EEF5EA"/>
          </w:tcPr>
          <w:p>
            <w:r/>
            <w:r>
              <w:rPr>
                <w:b/>
                <w:color w:val="00304D"/>
                <w:sz w:val="20"/>
              </w:rPr>
              <w:t xml:space="preserve">Nota para el instructor: </w:t>
            </w:r>
            <w:r>
              <w:rPr>
                <w:b w:val="0"/>
                <w:i w:val="0"/>
                <w:sz w:val="20"/>
              </w:rPr>
              <w:t>El mapa mental es el insumo de la sesión 02 (caracterización y selección de metodología) y de la sesión 02 de matemáticas (cuadro de variables).</w:t>
            </w:r>
          </w:p>
        </w:tc>
      </w:tr>
    </w:tbl>
    <w:p>
      <w:pPr>
        <w:spacing w:after="40"/>
      </w:pPr>
    </w:p>
    <w:p>
      <w:pPr>
        <w:pStyle w:val="Heading1"/>
      </w:pPr>
      <w:r>
        <w:t>4. Entregables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536"/>
        <w:gridCol w:w="1927"/>
        <w:gridCol w:w="3288"/>
      </w:tblGrid>
      <w:tr>
        <w:trPr>
          <w:tblHeader w:val="true"/>
        </w:trPr>
        <w:tc>
          <w:tcPr>
            <w:tcW w:type="dxa" w:w="4535"/>
            <w:shd w:val="clear" w:color="auto" w:fill="00304D"/>
            <w:vAlign w:val="center"/>
          </w:tcPr>
          <w:p>
            <w:r/>
            <w:r>
              <w:rPr>
                <w:b/>
                <w:color w:val="FFFFFF"/>
                <w:sz w:val="20"/>
              </w:rPr>
              <w:t>Entregable</w:t>
            </w:r>
          </w:p>
        </w:tc>
        <w:tc>
          <w:tcPr>
            <w:tcW w:type="dxa" w:w="1928"/>
            <w:shd w:val="clear" w:color="auto" w:fill="00304D"/>
            <w:vAlign w:val="center"/>
          </w:tcPr>
          <w:p>
            <w:r/>
            <w:r>
              <w:rPr>
                <w:b/>
                <w:color w:val="FFFFFF"/>
                <w:sz w:val="20"/>
              </w:rPr>
              <w:t>Tipo de evidencia</w:t>
            </w:r>
          </w:p>
        </w:tc>
        <w:tc>
          <w:tcPr>
            <w:tcW w:type="dxa" w:w="3288"/>
            <w:shd w:val="clear" w:color="auto" w:fill="00304D"/>
            <w:vAlign w:val="center"/>
          </w:tcPr>
          <w:p>
            <w:r/>
            <w:r>
              <w:rPr>
                <w:b/>
                <w:color w:val="FFFFFF"/>
                <w:sz w:val="20"/>
              </w:rPr>
              <w:t>Forma de entrega</w:t>
            </w:r>
          </w:p>
        </w:tc>
      </w:tr>
      <w:tr>
        <w:tc>
          <w:tcPr>
            <w:tcW w:type="dxa" w:w="4535"/>
            <w:vAlign w:val="center"/>
          </w:tcPr>
          <w:p>
            <w:pPr>
              <w:spacing w:after="20"/>
            </w:pPr>
            <w:r/>
            <w:r>
              <w:rPr>
                <w:b w:val="0"/>
                <w:i w:val="0"/>
                <w:sz w:val="20"/>
              </w:rPr>
              <w:t>Hoja de observación del caso «el columpio del árbol»</w:t>
            </w:r>
          </w:p>
        </w:tc>
        <w:tc>
          <w:tcPr>
            <w:tcW w:type="dxa" w:w="1928"/>
            <w:vAlign w:val="center"/>
          </w:tcPr>
          <w:p>
            <w:pPr>
              <w:spacing w:after="20"/>
            </w:pPr>
            <w:r/>
            <w:r>
              <w:rPr>
                <w:b w:val="0"/>
                <w:i w:val="0"/>
                <w:sz w:val="20"/>
              </w:rPr>
              <w:t>Conocimiento</w:t>
            </w:r>
          </w:p>
        </w:tc>
        <w:tc>
          <w:tcPr>
            <w:tcW w:type="dxa" w:w="3288"/>
            <w:vAlign w:val="center"/>
          </w:tcPr>
          <w:p>
            <w:pPr>
              <w:spacing w:after="20"/>
            </w:pPr>
            <w:r/>
            <w:r>
              <w:rPr>
                <w:b w:val="0"/>
                <w:i w:val="0"/>
                <w:sz w:val="20"/>
              </w:rPr>
              <w:t>Física o digital, por pareja, al finalizar la actividad</w:t>
            </w:r>
          </w:p>
        </w:tc>
      </w:tr>
      <w:tr>
        <w:tc>
          <w:tcPr>
            <w:tcW w:type="dxa" w:w="4535"/>
            <w:vAlign w:val="center"/>
            <w:shd w:val="clear" w:color="auto" w:fill="F4F7F9"/>
          </w:tcPr>
          <w:p>
            <w:pPr>
              <w:spacing w:after="20"/>
            </w:pPr>
            <w:r/>
            <w:r>
              <w:rPr>
                <w:b w:val="0"/>
                <w:i w:val="0"/>
                <w:sz w:val="20"/>
              </w:rPr>
              <w:t>Resultado del cuestionario diagnóstico</w:t>
            </w:r>
          </w:p>
        </w:tc>
        <w:tc>
          <w:tcPr>
            <w:tcW w:type="dxa" w:w="1928"/>
            <w:vAlign w:val="center"/>
            <w:shd w:val="clear" w:color="auto" w:fill="F4F7F9"/>
          </w:tcPr>
          <w:p>
            <w:pPr>
              <w:spacing w:after="20"/>
            </w:pPr>
            <w:r/>
            <w:r>
              <w:rPr>
                <w:b w:val="0"/>
                <w:i w:val="0"/>
                <w:sz w:val="20"/>
              </w:rPr>
              <w:t>Conocimiento (diagnóstica)</w:t>
            </w:r>
          </w:p>
        </w:tc>
        <w:tc>
          <w:tcPr>
            <w:tcW w:type="dxa" w:w="3288"/>
            <w:vAlign w:val="center"/>
            <w:shd w:val="clear" w:color="auto" w:fill="F4F7F9"/>
          </w:tcPr>
          <w:p>
            <w:pPr>
              <w:spacing w:after="20"/>
            </w:pPr>
            <w:r/>
            <w:r>
              <w:rPr>
                <w:b w:val="0"/>
                <w:i w:val="0"/>
                <w:sz w:val="20"/>
              </w:rPr>
              <w:t>Plataforma interactiva</w:t>
            </w:r>
          </w:p>
        </w:tc>
      </w:tr>
      <w:tr>
        <w:tc>
          <w:tcPr>
            <w:tcW w:type="dxa" w:w="4535"/>
            <w:vAlign w:val="center"/>
          </w:tcPr>
          <w:p>
            <w:pPr>
              <w:spacing w:after="20"/>
            </w:pPr>
            <w:r/>
            <w:r>
              <w:rPr>
                <w:b w:val="0"/>
                <w:i w:val="0"/>
                <w:sz w:val="20"/>
              </w:rPr>
              <w:t>Mapa mental del proceso objeto de intervención</w:t>
            </w:r>
          </w:p>
        </w:tc>
        <w:tc>
          <w:tcPr>
            <w:tcW w:type="dxa" w:w="1928"/>
            <w:vAlign w:val="center"/>
          </w:tcPr>
          <w:p>
            <w:pPr>
              <w:spacing w:after="20"/>
            </w:pPr>
            <w:r/>
            <w:r>
              <w:rPr>
                <w:b w:val="0"/>
                <w:i w:val="0"/>
                <w:sz w:val="20"/>
              </w:rPr>
              <w:t>Desempeño</w:t>
            </w:r>
          </w:p>
        </w:tc>
        <w:tc>
          <w:tcPr>
            <w:tcW w:type="dxa" w:w="3288"/>
            <w:vAlign w:val="center"/>
          </w:tcPr>
          <w:p>
            <w:pPr>
              <w:spacing w:after="20"/>
            </w:pPr>
            <w:r/>
            <w:r>
              <w:rPr>
                <w:b w:val="0"/>
                <w:i w:val="0"/>
                <w:sz w:val="20"/>
              </w:rPr>
              <w:t>Pliego o archivo digital en la carpeta del equipo (LMS/Drive)</w:t>
            </w:r>
          </w:p>
        </w:tc>
      </w:tr>
    </w:tbl>
    <w:p>
      <w:pPr>
        <w:spacing w:after="40"/>
      </w:pPr>
    </w:p>
    <w:p>
      <w:pPr>
        <w:pStyle w:val="Heading1"/>
      </w:pPr>
      <w:r>
        <w:t>5. Recursos y material de apoyo</w:t>
      </w:r>
    </w:p>
    <w:p>
      <w:pPr>
        <w:pStyle w:val="ListBullet"/>
        <w:spacing w:after="40"/>
        <w:jc w:val="both"/>
      </w:pPr>
      <w:r>
        <w:rPr>
          <w:b w:val="0"/>
          <w:i w:val="0"/>
        </w:rPr>
        <w:t>Imagen «el columpio del árbol» (tree swing) para proyección.</w:t>
      </w:r>
    </w:p>
    <w:p>
      <w:pPr>
        <w:pStyle w:val="ListBullet"/>
        <w:spacing w:after="40"/>
        <w:jc w:val="both"/>
      </w:pPr>
      <w:r>
        <w:rPr>
          <w:b w:val="0"/>
          <w:i w:val="0"/>
        </w:rPr>
        <w:t>Plataforma de cuestionarios: Kahoot, Quizizz o Google Forms.</w:t>
      </w:r>
    </w:p>
    <w:p>
      <w:pPr>
        <w:pStyle w:val="ListBullet"/>
        <w:spacing w:after="40"/>
        <w:jc w:val="both"/>
      </w:pPr>
      <w:r>
        <w:rPr>
          <w:b w:val="0"/>
          <w:i w:val="0"/>
        </w:rPr>
        <w:t>Informe de requisitos del proyecto formativo.</w:t>
      </w:r>
    </w:p>
    <w:p>
      <w:pPr>
        <w:pStyle w:val="ListBullet"/>
        <w:spacing w:after="40"/>
        <w:jc w:val="both"/>
      </w:pPr>
      <w:r>
        <w:rPr>
          <w:b w:val="0"/>
          <w:i w:val="0"/>
        </w:rPr>
        <w:t>Pliegos de papel, marcadores, notas adhesivas o herramienta digital de mapas mentales (Canva, MindMeister, draw.io).</w:t>
      </w:r>
    </w:p>
    <w:p>
      <w:pPr>
        <w:pStyle w:val="ListBullet"/>
        <w:spacing w:after="40"/>
        <w:jc w:val="both"/>
      </w:pPr>
      <w:r>
        <w:rPr>
          <w:b w:val="0"/>
          <w:i w:val="0"/>
        </w:rPr>
        <w:t>Guía de aprendizaje GFPI-F-135 – Actividad 2.</w:t>
      </w:r>
    </w:p>
    <w:tbl>
      <w:tblPr>
        <w:tblW w:type="dxa" w:w="9752"/>
        <w:jc w:val="center"/>
        <w:tblLayout w:type="fixed"/>
        <w:tblLook w:firstColumn="1" w:firstRow="1" w:lastColumn="0" w:lastRow="0" w:noHBand="0" w:noVBand="1" w:val="04A0"/>
        <w:tblBorders>
          <w:top w:val="single" w:sz="4" w:space="0" w:color="39A900"/>
          <w:left w:val="single" w:sz="4" w:space="0" w:color="39A900"/>
          <w:bottom w:val="single" w:sz="4" w:space="0" w:color="39A900"/>
          <w:right w:val="single" w:sz="4" w:space="0" w:color="39A900"/>
          <w:insideH w:val="single" w:sz="4" w:space="0" w:color="39A900"/>
          <w:insideV w:val="single" w:sz="4" w:space="0" w:color="39A900"/>
        </w:tblBorders>
        <w:tblLayout w:type="fixed"/>
      </w:tblPr>
      <w:tblGrid>
        <w:gridCol w:w="9752"/>
      </w:tblGrid>
      <w:tr>
        <w:tc>
          <w:tcPr>
            <w:tcW w:type="dxa" w:w="9751"/>
            <w:shd w:val="clear" w:color="auto" w:fill="EEF5EA"/>
          </w:tcPr>
          <w:p>
            <w:r/>
            <w:r>
              <w:rPr>
                <w:b/>
                <w:color w:val="00304D"/>
                <w:sz w:val="20"/>
              </w:rPr>
              <w:t xml:space="preserve">Nota para el instructor: </w:t>
            </w:r>
            <w:r>
              <w:rPr>
                <w:b w:val="0"/>
                <w:i w:val="0"/>
                <w:sz w:val="20"/>
              </w:rPr>
              <w:t>La evaluación de esta sesión es diagnóstica y formativa; no genera juicio de aprobación de RAP, pero sus evidencias se archivan en el portafolio del aprendiz.</w:t>
            </w:r>
          </w:p>
        </w:tc>
      </w:tr>
    </w:tbl>
    <w:p>
      <w:pPr>
        <w:spacing w:after="40"/>
      </w:pP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8"/>
        <w:sz w:val="16"/>
      </w:rPr>
      <w:t xml:space="preserve">Guía de aprendizaje GFPI-F-135 – Actividad 2 – ADSO 228118   |   Página </w:t>
    </w:r>
    <w:r>
      <w:rPr>
        <w:color w:val="5A6B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6"/>
      <w:gridCol w:w="4876"/>
    </w:tblGrid>
    <w:tr>
      <w:tc>
        <w:tcPr>
          <w:tcW w:type="dxa" w:w="1134"/>
        </w:tcPr>
        <w:p>
          <w:r>
            <w:drawing>
              <wp:inline xmlns:a="http://schemas.openxmlformats.org/drawingml/2006/main" xmlns:pic="http://schemas.openxmlformats.org/drawingml/2006/picture">
                <wp:extent cx="503999" cy="477036"/>
                <wp:docPr id="1" name="Picture 1"/>
                <wp:cNvGraphicFramePr>
                  <a:graphicFrameLocks noChangeAspect="1"/>
                </wp:cNvGraphicFramePr>
                <a:graphic>
                  <a:graphicData uri="http://schemas.openxmlformats.org/drawingml/2006/picture">
                    <pic:pic>
                      <pic:nvPicPr>
                        <pic:cNvPr id="0" name="logo_green.png"/>
                        <pic:cNvPicPr/>
                      </pic:nvPicPr>
                      <pic:blipFill>
                        <a:blip r:embed="rId1"/>
                        <a:stretch>
                          <a:fillRect/>
                        </a:stretch>
                      </pic:blipFill>
                      <pic:spPr>
                        <a:xfrm>
                          <a:off x="0" y="0"/>
                          <a:ext cx="503999" cy="477036"/>
                        </a:xfrm>
                        <a:prstGeom prst="rect"/>
                      </pic:spPr>
                    </pic:pic>
                  </a:graphicData>
                </a:graphic>
              </wp:inline>
            </w:drawing>
          </w:r>
        </w:p>
      </w:tc>
      <w:tc>
        <w:tcPr>
          <w:tcW w:type="dxa" w:w="8617"/>
          <w:vAlign w:val="center"/>
        </w:tcPr>
        <w:p>
          <w:r>
            <w:rPr>
              <w:b/>
              <w:color w:val="00304D"/>
              <w:sz w:val="18"/>
            </w:rPr>
            <w:t>SERVICIO NACIONAL DE APRENDIZAJE – SENA</w:t>
            <w:br/>
          </w:r>
          <w:r>
            <w:rPr>
              <w:b/>
              <w:color w:val="39A900"/>
              <w:sz w:val="22"/>
            </w:rPr>
            <w:t>GUÍA DE ACTIVIDADES DE LA SESIÓN</w:t>
            <w:br/>
          </w:r>
          <w:r>
            <w:rPr>
              <w:color w:val="5A6B78"/>
              <w:sz w:val="16"/>
            </w:rPr>
            <w:t>ADSO 228118 · Competencia 220501093 · Sesión 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Calibri" w:hAnsi="Calibri"/>
      <w:b/>
      <w:bCs/>
      <w:color w:val="00304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0304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39A9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