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04D"/>
          <w:sz w:val="32"/>
        </w:rPr>
        <w:t>Instrumentos de evaluación – Sesión 02</w:t>
      </w:r>
    </w:p>
    <w:p>
      <w:pPr>
        <w:jc w:val="center"/>
      </w:pPr>
      <w:r>
        <w:rPr>
          <w:b/>
          <w:color w:val="39A900"/>
          <w:sz w:val="22"/>
        </w:rPr>
        <w:t>Metodologías de desarrollo y planeación del análisis</w:t>
      </w:r>
    </w:p>
    <w:p>
      <w:pPr>
        <w:jc w:val="both"/>
      </w:pPr>
      <w:r>
        <w:rPr>
          <w:b w:val="0"/>
          <w:i w:val="0"/>
        </w:rPr>
        <w:t xml:space="preserve">Este documento reúne los instrumentos con los que se valoran las evidencias de la sesión. Cada instrumento inicia en una página nueva. Los cuestionarios y talleres incluyen al final la </w:t>
      </w:r>
      <w:r>
        <w:rPr>
          <w:b/>
          <w:i w:val="0"/>
        </w:rPr>
        <w:t>clave de respuestas para uso exclusivo del instructor</w:t>
      </w:r>
      <w:r>
        <w:rPr>
          <w:b w:val="0"/>
          <w:i w:val="0"/>
        </w:rPr>
        <w:t xml:space="preserve">. La evaluación en el SENA es por competencias: el juicio de cada evidencia es </w:t>
      </w:r>
      <w:r>
        <w:rPr>
          <w:b/>
          <w:i w:val="0"/>
        </w:rPr>
        <w:t>Aprobado (A)</w:t>
      </w:r>
      <w:r>
        <w:rPr>
          <w:b w:val="0"/>
          <w:i w:val="0"/>
        </w:rPr>
        <w:t xml:space="preserve"> o </w:t>
      </w:r>
      <w:r>
        <w:rPr>
          <w:b/>
          <w:i w:val="0"/>
        </w:rPr>
        <w:t>No aprobado (D)</w:t>
      </w:r>
      <w:r>
        <w:rPr>
          <w:b w:val="0"/>
          <w:i w:val="0"/>
        </w:rPr>
        <w:t>, y toda evidencia no aprobada debe tener un plan de mejoramiento.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E"/>
          <w:left w:val="single" w:sz="4" w:space="0" w:color="B7C4CE"/>
          <w:bottom w:val="single" w:sz="4" w:space="0" w:color="B7C4CE"/>
          <w:right w:val="single" w:sz="4" w:space="0" w:color="B7C4CE"/>
          <w:insideH w:val="single" w:sz="4" w:space="0" w:color="B7C4CE"/>
          <w:insideV w:val="single" w:sz="4" w:space="0" w:color="B7C4CE"/>
        </w:tblBorders>
        <w:tblLayout w:type="fixed"/>
      </w:tblPr>
      <w:tblGrid>
        <w:gridCol w:w="567"/>
        <w:gridCol w:w="3402"/>
        <w:gridCol w:w="4082"/>
        <w:gridCol w:w="1701"/>
      </w:tblGrid>
      <w:tr>
        <w:trPr>
          <w:tblHeader w:val="true"/>
        </w:trPr>
        <w:tc>
          <w:tcPr>
            <w:tcW w:type="dxa" w:w="567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N°</w:t>
            </w:r>
          </w:p>
        </w:tc>
        <w:tc>
          <w:tcPr>
            <w:tcW w:type="dxa" w:w="3402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Instrumento</w:t>
            </w:r>
          </w:p>
        </w:tc>
        <w:tc>
          <w:tcPr>
            <w:tcW w:type="dxa" w:w="4082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Evidencia que valora</w:t>
            </w:r>
          </w:p>
        </w:tc>
        <w:tc>
          <w:tcPr>
            <w:tcW w:type="dxa" w:w="1701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Tipo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3402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Cuestionario: metodologías de desarrollo de software</w:t>
            </w:r>
          </w:p>
        </w:tc>
        <w:tc>
          <w:tcPr>
            <w:tcW w:type="dxa" w:w="4082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Conocimiento: explica las metodologías de desarrollo de software (tradicionales y ágiles) mediante una evaluación de conocimientos.</w:t>
            </w:r>
          </w:p>
        </w:tc>
        <w:tc>
          <w:tcPr>
            <w:tcW w:type="dxa" w:w="1701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Conocimiento</w:t>
            </w:r>
          </w:p>
        </w:tc>
      </w:tr>
      <w:tr>
        <w:tc>
          <w:tcPr>
            <w:tcW w:type="dxa" w:w="567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2</w:t>
            </w:r>
          </w:p>
        </w:tc>
        <w:tc>
          <w:tcPr>
            <w:tcW w:type="dxa" w:w="3402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Lista de verificación del estudio de caso y del taller de planeación</w:t>
            </w:r>
          </w:p>
        </w:tc>
        <w:tc>
          <w:tcPr>
            <w:tcW w:type="dxa" w:w="4082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Desempeño en la práctica guiada: cuadro comparativo de metodologías y tablero de planeación del caso Agrosur</w:t>
            </w:r>
          </w:p>
        </w:tc>
        <w:tc>
          <w:tcPr>
            <w:tcW w:type="dxa" w:w="1701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Desempeño (formativa)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Instrumento 1. Cuestionario: metodologías de desarrollo de software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E"/>
          <w:left w:val="single" w:sz="4" w:space="0" w:color="B7C4CE"/>
          <w:bottom w:val="single" w:sz="4" w:space="0" w:color="B7C4CE"/>
          <w:right w:val="single" w:sz="4" w:space="0" w:color="B7C4CE"/>
          <w:insideH w:val="single" w:sz="4" w:space="0" w:color="B7C4CE"/>
          <w:insideV w:val="single" w:sz="4" w:space="0" w:color="B7C4CE"/>
        </w:tblBorders>
        <w:tblLayout w:type="fixed"/>
      </w:tblPr>
      <w:tblGrid>
        <w:gridCol w:w="2608"/>
        <w:gridCol w:w="7144"/>
      </w:tblGrid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Programa de formación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Tecnólogo en Análisis y Desarrollo de Software – Código 228118 Versión 1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Ficha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______________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Competencia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220501093 – Evaluar requisitos de la solución de software de acuerdo con metodologías de análisis y estándares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Resultado de aprendizaje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01 Planear actividades de análisis de acuerdo con la metodología seleccionada.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Evidencia de aprendizaje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Conocimiento: explica las metodologías de desarrollo de software (tradicionales y ágiles) mediante una evaluación de conocimientos.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Técnica / instrumento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Formulación de preguntas / cuestionario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Instructor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Instructor técnico (Tecnólogo o profesional en sistemas y afines)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Aprendiz(ces) / equipo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_______________________________________________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Fecha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______________</w:t>
            </w:r>
          </w:p>
        </w:tc>
      </w:tr>
    </w:tbl>
    <w:p>
      <w:pPr>
        <w:spacing w:after="40"/>
      </w:pPr>
    </w:p>
    <w:p>
      <w:pPr>
        <w:jc w:val="both"/>
      </w:pPr>
      <w:r>
        <w:rPr>
          <w:b/>
          <w:i w:val="0"/>
        </w:rPr>
        <w:t>Instrucciones:</w:t>
      </w:r>
      <w:r>
        <w:rPr>
          <w:b w:val="0"/>
          <w:i w:val="0"/>
        </w:rPr>
        <w:t xml:space="preserve"> Lea cada enunciado y seleccione una única respuesta. Tiempo: 40 minutos.</w:t>
      </w:r>
    </w:p>
    <w:p>
      <w:pPr>
        <w:keepNext/>
        <w:jc w:val="both"/>
      </w:pPr>
      <w:r>
        <w:rPr>
          <w:b/>
          <w:i w:val="0"/>
        </w:rPr>
        <w:t>1.</w:t>
      </w:r>
      <w:r>
        <w:rPr>
          <w:b w:val="0"/>
          <w:i w:val="0"/>
        </w:rPr>
        <w:t xml:space="preserve"> Las tres características que definen al Proceso Unificado (RUP) son:</w:t>
      </w:r>
    </w:p>
    <w:p>
      <w:pPr>
        <w:keepNext/>
        <w:spacing w:after="20"/>
        <w:ind w:left="510"/>
      </w:pPr>
      <w:r>
        <w:rPr>
          <w:b w:val="0"/>
          <w:i w:val="0"/>
        </w:rPr>
        <w:t>a) Dirigido por casos de uso, centrado en la arquitectura, iterativo e incremental</w:t>
      </w:r>
    </w:p>
    <w:p>
      <w:pPr>
        <w:keepNext/>
        <w:spacing w:after="20"/>
        <w:ind w:left="510"/>
      </w:pPr>
      <w:r>
        <w:rPr>
          <w:b w:val="0"/>
          <w:i w:val="0"/>
        </w:rPr>
        <w:t>b) Sin roles, sin fases y sin documentación</w:t>
      </w:r>
    </w:p>
    <w:p>
      <w:pPr>
        <w:keepNext/>
        <w:spacing w:after="20"/>
        <w:ind w:left="510"/>
      </w:pPr>
      <w:r>
        <w:rPr>
          <w:b w:val="0"/>
          <w:i w:val="0"/>
        </w:rPr>
        <w:t>c) Rápido, barato y simple</w:t>
      </w:r>
    </w:p>
    <w:p>
      <w:pPr>
        <w:spacing w:after="20"/>
        <w:ind w:left="510"/>
      </w:pPr>
      <w:r>
        <w:rPr>
          <w:b w:val="0"/>
          <w:i w:val="0"/>
        </w:rPr>
        <w:t>d) Secuencial, lineal y rígido</w:t>
      </w:r>
    </w:p>
    <w:p>
      <w:pPr>
        <w:keepNext/>
        <w:jc w:val="both"/>
      </w:pPr>
      <w:r>
        <w:rPr>
          <w:b/>
          <w:i w:val="0"/>
        </w:rPr>
        <w:t>2.</w:t>
      </w:r>
      <w:r>
        <w:rPr>
          <w:b w:val="0"/>
          <w:i w:val="0"/>
        </w:rPr>
        <w:t xml:space="preserve"> En RUP, la fase cuyo objetivo principal es estabilizar la arquitectura y analizar el dominio es:</w:t>
      </w:r>
    </w:p>
    <w:p>
      <w:pPr>
        <w:keepNext/>
        <w:spacing w:after="20"/>
        <w:ind w:left="510"/>
      </w:pPr>
      <w:r>
        <w:rPr>
          <w:b w:val="0"/>
          <w:i w:val="0"/>
        </w:rPr>
        <w:t>a) Transición</w:t>
      </w:r>
    </w:p>
    <w:p>
      <w:pPr>
        <w:keepNext/>
        <w:spacing w:after="20"/>
        <w:ind w:left="510"/>
      </w:pPr>
      <w:r>
        <w:rPr>
          <w:b w:val="0"/>
          <w:i w:val="0"/>
        </w:rPr>
        <w:t>b) Construcción</w:t>
      </w:r>
    </w:p>
    <w:p>
      <w:pPr>
        <w:keepNext/>
        <w:spacing w:after="20"/>
        <w:ind w:left="510"/>
      </w:pPr>
      <w:r>
        <w:rPr>
          <w:b w:val="0"/>
          <w:i w:val="0"/>
        </w:rPr>
        <w:t>c) Inicio</w:t>
      </w:r>
    </w:p>
    <w:p>
      <w:pPr>
        <w:spacing w:after="20"/>
        <w:ind w:left="510"/>
      </w:pPr>
      <w:r>
        <w:rPr>
          <w:b w:val="0"/>
          <w:i w:val="0"/>
        </w:rPr>
        <w:t>d) Elaboración</w:t>
      </w:r>
    </w:p>
    <w:p>
      <w:pPr>
        <w:keepNext/>
        <w:jc w:val="both"/>
      </w:pPr>
      <w:r>
        <w:rPr>
          <w:b/>
          <w:i w:val="0"/>
        </w:rPr>
        <w:t>3.</w:t>
      </w:r>
      <w:r>
        <w:rPr>
          <w:b w:val="0"/>
          <w:i w:val="0"/>
        </w:rPr>
        <w:t xml:space="preserve"> Según La Guía Scrum (2020), los tres responsables del Scrum Team son:</w:t>
      </w:r>
    </w:p>
    <w:p>
      <w:pPr>
        <w:keepNext/>
        <w:spacing w:after="20"/>
        <w:ind w:left="510"/>
      </w:pPr>
      <w:r>
        <w:rPr>
          <w:b w:val="0"/>
          <w:i w:val="0"/>
        </w:rPr>
        <w:t>a) Líder técnico, arquitecto y DBA</w:t>
      </w:r>
    </w:p>
    <w:p>
      <w:pPr>
        <w:keepNext/>
        <w:spacing w:after="20"/>
        <w:ind w:left="510"/>
      </w:pPr>
      <w:r>
        <w:rPr>
          <w:b w:val="0"/>
          <w:i w:val="0"/>
        </w:rPr>
        <w:t>b) Product Owner, Scrum Master y Developers</w:t>
      </w:r>
    </w:p>
    <w:p>
      <w:pPr>
        <w:keepNext/>
        <w:spacing w:after="20"/>
        <w:ind w:left="510"/>
      </w:pPr>
      <w:r>
        <w:rPr>
          <w:b w:val="0"/>
          <w:i w:val="0"/>
        </w:rPr>
        <w:t>c) Gerente, analista y programador</w:t>
      </w:r>
    </w:p>
    <w:p>
      <w:pPr>
        <w:spacing w:after="20"/>
        <w:ind w:left="510"/>
      </w:pPr>
      <w:r>
        <w:rPr>
          <w:b w:val="0"/>
          <w:i w:val="0"/>
        </w:rPr>
        <w:t>d) Cliente, tester y diseñador</w:t>
      </w:r>
    </w:p>
    <w:p>
      <w:pPr>
        <w:keepNext/>
        <w:jc w:val="both"/>
      </w:pPr>
      <w:r>
        <w:rPr>
          <w:b/>
          <w:i w:val="0"/>
        </w:rPr>
        <w:t>4.</w:t>
      </w:r>
      <w:r>
        <w:rPr>
          <w:b w:val="0"/>
          <w:i w:val="0"/>
        </w:rPr>
        <w:t xml:space="preserve"> La duración máxima de un Sprint es:</w:t>
      </w:r>
    </w:p>
    <w:p>
      <w:pPr>
        <w:keepNext/>
        <w:spacing w:after="20"/>
        <w:ind w:left="510"/>
      </w:pPr>
      <w:r>
        <w:rPr>
          <w:b w:val="0"/>
          <w:i w:val="0"/>
        </w:rPr>
        <w:t>a) Una semana</w:t>
      </w:r>
    </w:p>
    <w:p>
      <w:pPr>
        <w:keepNext/>
        <w:spacing w:after="20"/>
        <w:ind w:left="510"/>
      </w:pPr>
      <w:r>
        <w:rPr>
          <w:b w:val="0"/>
          <w:i w:val="0"/>
        </w:rPr>
        <w:t>b) No tiene límite</w:t>
      </w:r>
    </w:p>
    <w:p>
      <w:pPr>
        <w:keepNext/>
        <w:spacing w:after="20"/>
        <w:ind w:left="510"/>
      </w:pPr>
      <w:r>
        <w:rPr>
          <w:b w:val="0"/>
          <w:i w:val="0"/>
        </w:rPr>
        <w:t>c) Un mes</w:t>
      </w:r>
    </w:p>
    <w:p>
      <w:pPr>
        <w:spacing w:after="20"/>
        <w:ind w:left="510"/>
      </w:pPr>
      <w:r>
        <w:rPr>
          <w:b w:val="0"/>
          <w:i w:val="0"/>
        </w:rPr>
        <w:t>d) Tres meses</w:t>
      </w:r>
    </w:p>
    <w:p>
      <w:pPr>
        <w:keepNext/>
        <w:jc w:val="both"/>
      </w:pPr>
      <w:r>
        <w:rPr>
          <w:b/>
          <w:i w:val="0"/>
        </w:rPr>
        <w:t>5.</w:t>
      </w:r>
      <w:r>
        <w:rPr>
          <w:b w:val="0"/>
          <w:i w:val="0"/>
        </w:rPr>
        <w:t xml:space="preserve"> El evento de Scrum para inspeccionar el progreso hacia el objetivo del Sprint, de 15 minutos, es:</w:t>
      </w:r>
    </w:p>
    <w:p>
      <w:pPr>
        <w:keepNext/>
        <w:spacing w:after="20"/>
        <w:ind w:left="510"/>
      </w:pPr>
      <w:r>
        <w:rPr>
          <w:b w:val="0"/>
          <w:i w:val="0"/>
        </w:rPr>
        <w:t>a) Sprint Planning</w:t>
      </w:r>
    </w:p>
    <w:p>
      <w:pPr>
        <w:keepNext/>
        <w:spacing w:after="20"/>
        <w:ind w:left="510"/>
      </w:pPr>
      <w:r>
        <w:rPr>
          <w:b w:val="0"/>
          <w:i w:val="0"/>
        </w:rPr>
        <w:t>b) Sprint Retrospective</w:t>
      </w:r>
    </w:p>
    <w:p>
      <w:pPr>
        <w:keepNext/>
        <w:spacing w:after="20"/>
        <w:ind w:left="510"/>
      </w:pPr>
      <w:r>
        <w:rPr>
          <w:b w:val="0"/>
          <w:i w:val="0"/>
        </w:rPr>
        <w:t>c) Daily Scrum</w:t>
      </w:r>
    </w:p>
    <w:p>
      <w:pPr>
        <w:spacing w:after="20"/>
        <w:ind w:left="510"/>
      </w:pPr>
      <w:r>
        <w:rPr>
          <w:b w:val="0"/>
          <w:i w:val="0"/>
        </w:rPr>
        <w:t>d) Sprint Review</w:t>
      </w:r>
    </w:p>
    <w:p>
      <w:pPr>
        <w:keepNext/>
        <w:jc w:val="both"/>
      </w:pPr>
      <w:r>
        <w:rPr>
          <w:b/>
          <w:i w:val="0"/>
        </w:rPr>
        <w:t>6.</w:t>
      </w:r>
      <w:r>
        <w:rPr>
          <w:b w:val="0"/>
          <w:i w:val="0"/>
        </w:rPr>
        <w:t xml:space="preserve"> El artefacto de Scrum que contiene la lista ordenada de todo lo necesario para el producto es:</w:t>
      </w:r>
    </w:p>
    <w:p>
      <w:pPr>
        <w:keepNext/>
        <w:spacing w:after="20"/>
        <w:ind w:left="510"/>
      </w:pPr>
      <w:r>
        <w:rPr>
          <w:b w:val="0"/>
          <w:i w:val="0"/>
        </w:rPr>
        <w:t>a) Definición de terminado</w:t>
      </w:r>
    </w:p>
    <w:p>
      <w:pPr>
        <w:keepNext/>
        <w:spacing w:after="20"/>
        <w:ind w:left="510"/>
      </w:pPr>
      <w:r>
        <w:rPr>
          <w:b w:val="0"/>
          <w:i w:val="0"/>
        </w:rPr>
        <w:t>b) Product Backlog</w:t>
      </w:r>
    </w:p>
    <w:p>
      <w:pPr>
        <w:keepNext/>
        <w:spacing w:after="20"/>
        <w:ind w:left="510"/>
      </w:pPr>
      <w:r>
        <w:rPr>
          <w:b w:val="0"/>
          <w:i w:val="0"/>
        </w:rPr>
        <w:t>c) Incremento</w:t>
      </w:r>
    </w:p>
    <w:p>
      <w:pPr>
        <w:spacing w:after="20"/>
        <w:ind w:left="510"/>
      </w:pPr>
      <w:r>
        <w:rPr>
          <w:b w:val="0"/>
          <w:i w:val="0"/>
        </w:rPr>
        <w:t>d) Sprint Backlog</w:t>
      </w:r>
    </w:p>
    <w:p>
      <w:pPr>
        <w:keepNext/>
        <w:jc w:val="both"/>
      </w:pPr>
      <w:r>
        <w:rPr>
          <w:b/>
          <w:i w:val="0"/>
        </w:rPr>
        <w:t>7.</w:t>
      </w:r>
      <w:r>
        <w:rPr>
          <w:b w:val="0"/>
          <w:i w:val="0"/>
        </w:rPr>
        <w:t xml:space="preserve"> La programación en parejas y el desarrollo guiado por pruebas son prácticas características de:</w:t>
      </w:r>
    </w:p>
    <w:p>
      <w:pPr>
        <w:keepNext/>
        <w:spacing w:after="20"/>
        <w:ind w:left="510"/>
      </w:pPr>
      <w:r>
        <w:rPr>
          <w:b w:val="0"/>
          <w:i w:val="0"/>
        </w:rPr>
        <w:t>a) Cascada</w:t>
      </w:r>
    </w:p>
    <w:p>
      <w:pPr>
        <w:keepNext/>
        <w:spacing w:after="20"/>
        <w:ind w:left="510"/>
      </w:pPr>
      <w:r>
        <w:rPr>
          <w:b w:val="0"/>
          <w:i w:val="0"/>
        </w:rPr>
        <w:t>b) RUP</w:t>
      </w:r>
    </w:p>
    <w:p>
      <w:pPr>
        <w:keepNext/>
        <w:spacing w:after="20"/>
        <w:ind w:left="510"/>
      </w:pPr>
      <w:r>
        <w:rPr>
          <w:b w:val="0"/>
          <w:i w:val="0"/>
        </w:rPr>
        <w:t>c) XP</w:t>
      </w:r>
    </w:p>
    <w:p>
      <w:pPr>
        <w:spacing w:after="20"/>
        <w:ind w:left="510"/>
      </w:pPr>
      <w:r>
        <w:rPr>
          <w:b w:val="0"/>
          <w:i w:val="0"/>
        </w:rPr>
        <w:t>d) RAD</w:t>
      </w:r>
    </w:p>
    <w:p>
      <w:pPr>
        <w:keepNext/>
        <w:jc w:val="both"/>
      </w:pPr>
      <w:r>
        <w:rPr>
          <w:b/>
          <w:i w:val="0"/>
        </w:rPr>
        <w:t>8.</w:t>
      </w:r>
      <w:r>
        <w:rPr>
          <w:b w:val="0"/>
          <w:i w:val="0"/>
        </w:rPr>
        <w:t xml:space="preserve"> RAD se recomienda especialmente cuando:</w:t>
      </w:r>
    </w:p>
    <w:p>
      <w:pPr>
        <w:keepNext/>
        <w:spacing w:after="20"/>
        <w:ind w:left="510"/>
      </w:pPr>
      <w:r>
        <w:rPr>
          <w:b w:val="0"/>
          <w:i w:val="0"/>
        </w:rPr>
        <w:t>a) Se necesita una aplicación funcional muy rápido, con prototipos y componentes reutilizables</w:t>
      </w:r>
    </w:p>
    <w:p>
      <w:pPr>
        <w:keepNext/>
        <w:spacing w:after="20"/>
        <w:ind w:left="510"/>
      </w:pPr>
      <w:r>
        <w:rPr>
          <w:b w:val="0"/>
          <w:i w:val="0"/>
        </w:rPr>
        <w:t>b) El equipo tiene 50 personas</w:t>
      </w:r>
    </w:p>
    <w:p>
      <w:pPr>
        <w:keepNext/>
        <w:spacing w:after="20"/>
        <w:ind w:left="510"/>
      </w:pPr>
      <w:r>
        <w:rPr>
          <w:b w:val="0"/>
          <w:i w:val="0"/>
        </w:rPr>
        <w:t>c) El sistema es crítico y regulado</w:t>
      </w:r>
    </w:p>
    <w:p>
      <w:pPr>
        <w:spacing w:after="20"/>
        <w:ind w:left="510"/>
      </w:pPr>
      <w:r>
        <w:rPr>
          <w:b w:val="0"/>
          <w:i w:val="0"/>
        </w:rPr>
        <w:t>d) No hay usuarios disponibles</w:t>
      </w:r>
    </w:p>
    <w:p>
      <w:pPr>
        <w:keepNext/>
        <w:jc w:val="both"/>
      </w:pPr>
      <w:r>
        <w:rPr>
          <w:b/>
          <w:i w:val="0"/>
        </w:rPr>
        <w:t>9.</w:t>
      </w:r>
      <w:r>
        <w:rPr>
          <w:b w:val="0"/>
          <w:i w:val="0"/>
        </w:rPr>
        <w:t xml:space="preserve"> Un proyecto con requisitos estables, regulado por normatividad y con un equipo grande favorece una metodología:</w:t>
      </w:r>
    </w:p>
    <w:p>
      <w:pPr>
        <w:keepNext/>
        <w:spacing w:after="20"/>
        <w:ind w:left="510"/>
      </w:pPr>
      <w:r>
        <w:rPr>
          <w:b w:val="0"/>
          <w:i w:val="0"/>
        </w:rPr>
        <w:t>a) Ninguna</w:t>
      </w:r>
    </w:p>
    <w:p>
      <w:pPr>
        <w:keepNext/>
        <w:spacing w:after="20"/>
        <w:ind w:left="510"/>
      </w:pPr>
      <w:r>
        <w:rPr>
          <w:b w:val="0"/>
          <w:i w:val="0"/>
        </w:rPr>
        <w:t>b) Tradicional como RUP</w:t>
      </w:r>
    </w:p>
    <w:p>
      <w:pPr>
        <w:keepNext/>
        <w:spacing w:after="20"/>
        <w:ind w:left="510"/>
      </w:pPr>
      <w:r>
        <w:rPr>
          <w:b w:val="0"/>
          <w:i w:val="0"/>
        </w:rPr>
        <w:t>c) RAD</w:t>
      </w:r>
    </w:p>
    <w:p>
      <w:pPr>
        <w:spacing w:after="20"/>
        <w:ind w:left="510"/>
      </w:pPr>
      <w:r>
        <w:rPr>
          <w:b w:val="0"/>
          <w:i w:val="0"/>
        </w:rPr>
        <w:t>d) Ágil pura sin documentación</w:t>
      </w:r>
    </w:p>
    <w:p>
      <w:pPr>
        <w:keepNext/>
        <w:jc w:val="both"/>
      </w:pPr>
      <w:r>
        <w:rPr>
          <w:b/>
          <w:i w:val="0"/>
        </w:rPr>
        <w:t>10.</w:t>
      </w:r>
      <w:r>
        <w:rPr>
          <w:b w:val="0"/>
          <w:i w:val="0"/>
        </w:rPr>
        <w:t xml:space="preserve"> Un cliente que cambia sus prioridades cada semana y está disponible a diario favorece:</w:t>
      </w:r>
    </w:p>
    <w:p>
      <w:pPr>
        <w:keepNext/>
        <w:spacing w:after="20"/>
        <w:ind w:left="510"/>
      </w:pPr>
      <w:r>
        <w:rPr>
          <w:b w:val="0"/>
          <w:i w:val="0"/>
        </w:rPr>
        <w:t>a) RUP con una sola iteración</w:t>
      </w:r>
    </w:p>
    <w:p>
      <w:pPr>
        <w:keepNext/>
        <w:spacing w:after="20"/>
        <w:ind w:left="510"/>
      </w:pPr>
      <w:r>
        <w:rPr>
          <w:b w:val="0"/>
          <w:i w:val="0"/>
        </w:rPr>
        <w:t>b) Una metodología ágil como Scrum</w:t>
      </w:r>
    </w:p>
    <w:p>
      <w:pPr>
        <w:keepNext/>
        <w:spacing w:after="20"/>
        <w:ind w:left="510"/>
      </w:pPr>
      <w:r>
        <w:rPr>
          <w:b w:val="0"/>
          <w:i w:val="0"/>
        </w:rPr>
        <w:t>c) No usar metodología</w:t>
      </w:r>
    </w:p>
    <w:p>
      <w:pPr>
        <w:spacing w:after="20"/>
        <w:ind w:left="510"/>
      </w:pPr>
      <w:r>
        <w:rPr>
          <w:b w:val="0"/>
          <w:i w:val="0"/>
        </w:rPr>
        <w:t>d) Cascada</w:t>
      </w:r>
    </w:p>
    <w:p>
      <w:pPr>
        <w:keepNext/>
        <w:jc w:val="both"/>
      </w:pPr>
      <w:r>
        <w:rPr>
          <w:b/>
          <w:i w:val="0"/>
        </w:rPr>
        <w:t>11.</w:t>
      </w:r>
      <w:r>
        <w:rPr>
          <w:b w:val="0"/>
          <w:i w:val="0"/>
        </w:rPr>
        <w:t xml:space="preserve"> Uno de los valores del Manifiesto Ágil es:</w:t>
      </w:r>
    </w:p>
    <w:p>
      <w:pPr>
        <w:keepNext/>
        <w:spacing w:after="20"/>
        <w:ind w:left="510"/>
      </w:pPr>
      <w:r>
        <w:rPr>
          <w:b w:val="0"/>
          <w:i w:val="0"/>
        </w:rPr>
        <w:t>a) Colaboración con el cliente sobre negociación contractual</w:t>
      </w:r>
    </w:p>
    <w:p>
      <w:pPr>
        <w:keepNext/>
        <w:spacing w:after="20"/>
        <w:ind w:left="510"/>
      </w:pPr>
      <w:r>
        <w:rPr>
          <w:b w:val="0"/>
          <w:i w:val="0"/>
        </w:rPr>
        <w:t>b) Seguir un plan sobre responder al cambio</w:t>
      </w:r>
    </w:p>
    <w:p>
      <w:pPr>
        <w:keepNext/>
        <w:spacing w:after="20"/>
        <w:ind w:left="510"/>
      </w:pPr>
      <w:r>
        <w:rPr>
          <w:b w:val="0"/>
          <w:i w:val="0"/>
        </w:rPr>
        <w:t>c) Documentación extensiva sobre software funcionando</w:t>
      </w:r>
    </w:p>
    <w:p>
      <w:pPr>
        <w:spacing w:after="20"/>
        <w:ind w:left="510"/>
      </w:pPr>
      <w:r>
        <w:rPr>
          <w:b w:val="0"/>
          <w:i w:val="0"/>
        </w:rPr>
        <w:t>d) Procesos y herramientas sobre individuos</w:t>
      </w:r>
    </w:p>
    <w:p>
      <w:pPr>
        <w:keepNext/>
        <w:jc w:val="both"/>
      </w:pPr>
      <w:r>
        <w:rPr>
          <w:b/>
          <w:i w:val="0"/>
        </w:rPr>
        <w:t>12.</w:t>
      </w:r>
      <w:r>
        <w:rPr>
          <w:b w:val="0"/>
          <w:i w:val="0"/>
        </w:rPr>
        <w:t xml:space="preserve"> En la técnica MoSCoW, la categoría «Must have» corresponde a:</w:t>
      </w:r>
    </w:p>
    <w:p>
      <w:pPr>
        <w:keepNext/>
        <w:spacing w:after="20"/>
        <w:ind w:left="510"/>
      </w:pPr>
      <w:r>
        <w:rPr>
          <w:b w:val="0"/>
          <w:i w:val="0"/>
        </w:rPr>
        <w:t>a) Lo deseable si sobra tiempo</w:t>
      </w:r>
    </w:p>
    <w:p>
      <w:pPr>
        <w:keepNext/>
        <w:spacing w:after="20"/>
        <w:ind w:left="510"/>
      </w:pPr>
      <w:r>
        <w:rPr>
          <w:b w:val="0"/>
          <w:i w:val="0"/>
        </w:rPr>
        <w:t>b) Lo que no se hará</w:t>
      </w:r>
    </w:p>
    <w:p>
      <w:pPr>
        <w:keepNext/>
        <w:spacing w:after="20"/>
        <w:ind w:left="510"/>
      </w:pPr>
      <w:r>
        <w:rPr>
          <w:b w:val="0"/>
          <w:i w:val="0"/>
        </w:rPr>
        <w:t>c) Lo que pide el programador</w:t>
      </w:r>
    </w:p>
    <w:p>
      <w:pPr>
        <w:spacing w:after="20"/>
        <w:ind w:left="510"/>
      </w:pPr>
      <w:r>
        <w:rPr>
          <w:b w:val="0"/>
          <w:i w:val="0"/>
        </w:rPr>
        <w:t>d) Lo imprescindible para que el producto sea viable</w:t>
      </w:r>
    </w:p>
    <w:p>
      <w:pPr>
        <w:keepNext/>
        <w:jc w:val="both"/>
      </w:pPr>
      <w:r>
        <w:rPr>
          <w:b/>
          <w:i w:val="0"/>
        </w:rPr>
        <w:t>13.</w:t>
      </w:r>
      <w:r>
        <w:rPr>
          <w:b w:val="0"/>
          <w:i w:val="0"/>
        </w:rPr>
        <w:t xml:space="preserve"> ¿Cuál de los siguientes NO es un componente de la planeación del análisis?</w:t>
      </w:r>
    </w:p>
    <w:p>
      <w:pPr>
        <w:keepNext/>
        <w:spacing w:after="20"/>
        <w:ind w:left="510"/>
      </w:pPr>
      <w:r>
        <w:rPr>
          <w:b w:val="0"/>
          <w:i w:val="0"/>
        </w:rPr>
        <w:t>a) Cronograma</w:t>
      </w:r>
    </w:p>
    <w:p>
      <w:pPr>
        <w:keepNext/>
        <w:spacing w:after="20"/>
        <w:ind w:left="510"/>
      </w:pPr>
      <w:r>
        <w:rPr>
          <w:b w:val="0"/>
          <w:i w:val="0"/>
        </w:rPr>
        <w:t>b) Entregables</w:t>
      </w:r>
    </w:p>
    <w:p>
      <w:pPr>
        <w:keepNext/>
        <w:spacing w:after="20"/>
        <w:ind w:left="510"/>
      </w:pPr>
      <w:r>
        <w:rPr>
          <w:b w:val="0"/>
          <w:i w:val="0"/>
        </w:rPr>
        <w:t>c) Código fuente de producción</w:t>
      </w:r>
    </w:p>
    <w:p>
      <w:pPr>
        <w:spacing w:after="20"/>
        <w:ind w:left="510"/>
      </w:pPr>
      <w:r>
        <w:rPr>
          <w:b w:val="0"/>
          <w:i w:val="0"/>
        </w:rPr>
        <w:t>d) Actividades priorizadas</w:t>
      </w:r>
    </w:p>
    <w:p>
      <w:pPr>
        <w:keepNext/>
        <w:jc w:val="both"/>
      </w:pPr>
      <w:r>
        <w:rPr>
          <w:b/>
          <w:i w:val="0"/>
        </w:rPr>
        <w:t>14.</w:t>
      </w:r>
      <w:r>
        <w:rPr>
          <w:b w:val="0"/>
          <w:i w:val="0"/>
        </w:rPr>
        <w:t xml:space="preserve"> La característica que distingue un proyecto de software de una operación rutinaria es que el proyecto:</w:t>
      </w:r>
    </w:p>
    <w:p>
      <w:pPr>
        <w:keepNext/>
        <w:spacing w:after="20"/>
        <w:ind w:left="510"/>
      </w:pPr>
      <w:r>
        <w:rPr>
          <w:b w:val="0"/>
          <w:i w:val="0"/>
        </w:rPr>
        <w:t>a) No tiene costos</w:t>
      </w:r>
    </w:p>
    <w:p>
      <w:pPr>
        <w:keepNext/>
        <w:spacing w:after="20"/>
        <w:ind w:left="510"/>
      </w:pPr>
      <w:r>
        <w:rPr>
          <w:b w:val="0"/>
          <w:i w:val="0"/>
        </w:rPr>
        <w:t>b) Es permanente</w:t>
      </w:r>
    </w:p>
    <w:p>
      <w:pPr>
        <w:keepNext/>
        <w:spacing w:after="20"/>
        <w:ind w:left="510"/>
      </w:pPr>
      <w:r>
        <w:rPr>
          <w:b w:val="0"/>
          <w:i w:val="0"/>
        </w:rPr>
        <w:t>c) Es temporal y produce un resultado único</w:t>
      </w:r>
    </w:p>
    <w:p>
      <w:pPr>
        <w:spacing w:after="20"/>
        <w:ind w:left="510"/>
      </w:pPr>
      <w:r>
        <w:rPr>
          <w:b w:val="0"/>
          <w:i w:val="0"/>
        </w:rPr>
        <w:t>d) No tiene objetivos</w:t>
      </w:r>
    </w:p>
    <w:p>
      <w:pPr>
        <w:keepNext/>
        <w:jc w:val="both"/>
      </w:pPr>
      <w:r>
        <w:rPr>
          <w:b/>
          <w:i w:val="0"/>
        </w:rPr>
        <w:t>15.</w:t>
      </w:r>
      <w:r>
        <w:rPr>
          <w:b w:val="0"/>
          <w:i w:val="0"/>
        </w:rPr>
        <w:t xml:space="preserve"> Elegir la metodología «de acuerdo con las características del software a desarrollar» significa:</w:t>
      </w:r>
    </w:p>
    <w:p>
      <w:pPr>
        <w:keepNext/>
        <w:spacing w:after="20"/>
        <w:ind w:left="510"/>
      </w:pPr>
      <w:r>
        <w:rPr>
          <w:b w:val="0"/>
          <w:i w:val="0"/>
        </w:rPr>
        <w:t>a) Escoger la que tenga menos documentación</w:t>
      </w:r>
    </w:p>
    <w:p>
      <w:pPr>
        <w:keepNext/>
        <w:spacing w:after="20"/>
        <w:ind w:left="510"/>
      </w:pPr>
      <w:r>
        <w:rPr>
          <w:b w:val="0"/>
          <w:i w:val="0"/>
        </w:rPr>
        <w:t>b) Analizar requisitos, cliente, tamaño, riesgo y entregas antes de decidir</w:t>
      </w:r>
    </w:p>
    <w:p>
      <w:pPr>
        <w:keepNext/>
        <w:spacing w:after="20"/>
        <w:ind w:left="510"/>
      </w:pPr>
      <w:r>
        <w:rPr>
          <w:b w:val="0"/>
          <w:i w:val="0"/>
        </w:rPr>
        <w:t>c) Escoger la más conocida por el equipo</w:t>
      </w:r>
    </w:p>
    <w:p>
      <w:pPr>
        <w:spacing w:after="20"/>
        <w:ind w:left="510"/>
      </w:pPr>
      <w:r>
        <w:rPr>
          <w:b w:val="0"/>
          <w:i w:val="0"/>
        </w:rPr>
        <w:t>d) Usar siempre Scrum</w:t>
      </w:r>
    </w:p>
    <w:p>
      <w:pPr>
        <w:jc w:val="both"/>
      </w:pPr>
      <w:r>
        <w:rPr>
          <w:b/>
          <w:i w:val="0"/>
        </w:rPr>
        <w:t>Criterio de aprobación:</w:t>
      </w:r>
      <w:r>
        <w:rPr>
          <w:b w:val="0"/>
          <w:i w:val="0"/>
        </w:rPr>
        <w:t xml:space="preserve"> responder correctamente como mínimo el 70 % de las preguntas.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E"/>
          <w:left w:val="single" w:sz="4" w:space="0" w:color="B7C4CE"/>
          <w:bottom w:val="single" w:sz="4" w:space="0" w:color="B7C4CE"/>
          <w:right w:val="single" w:sz="4" w:space="0" w:color="B7C4CE"/>
          <w:insideH w:val="single" w:sz="4" w:space="0" w:color="B7C4CE"/>
          <w:insideV w:val="single" w:sz="4" w:space="0" w:color="B7C4CE"/>
        </w:tblBorders>
        <w:tblLayout w:type="fixed"/>
      </w:tblPr>
      <w:tblGrid>
        <w:gridCol w:w="4082"/>
        <w:gridCol w:w="2835"/>
        <w:gridCol w:w="2835"/>
      </w:tblGrid>
      <w:tr>
        <w:trPr>
          <w:tblHeader w:val="true"/>
        </w:trPr>
        <w:tc>
          <w:tcPr>
            <w:tcW w:type="dxa" w:w="4082"/>
            <w:shd w:val="clear" w:color="auto" w:fill="39A900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Juicio de evaluación</w:t>
            </w:r>
          </w:p>
        </w:tc>
        <w:tc>
          <w:tcPr>
            <w:tcW w:type="dxa" w:w="2835"/>
            <w:shd w:val="clear" w:color="auto" w:fill="39A900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Aprobado (A)  ☐</w:t>
            </w:r>
          </w:p>
        </w:tc>
        <w:tc>
          <w:tcPr>
            <w:tcW w:type="dxa" w:w="2835"/>
            <w:shd w:val="clear" w:color="auto" w:fill="39A900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No aprobado (D)  ☐</w:t>
            </w:r>
          </w:p>
        </w:tc>
      </w:tr>
    </w:tbl>
    <w:p>
      <w:pPr>
        <w:spacing w:after="40"/>
      </w:pPr>
    </w:p>
    <w:p>
      <w:pPr>
        <w:jc w:val="both"/>
      </w:pPr>
      <w:r>
        <w:rPr>
          <w:b/>
          <w:i w:val="0"/>
        </w:rPr>
        <w:t>Retroalimentación / plan de mejoramiento:</w:t>
      </w:r>
    </w:p>
    <w:p>
      <w:pPr>
        <w:spacing w:after="40"/>
      </w:pPr>
      <w:r>
        <w:rPr>
          <w:color w:val="B7C4CE"/>
        </w:rPr>
        <w:t>______________________________________________________________________________________</w:t>
      </w:r>
    </w:p>
    <w:p>
      <w:pPr>
        <w:spacing w:after="40"/>
      </w:pPr>
      <w:r>
        <w:rPr>
          <w:color w:val="B7C4CE"/>
        </w:rPr>
        <w:t>______________________________________________________________________________________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E"/>
          <w:left w:val="single" w:sz="4" w:space="0" w:color="B7C4CE"/>
          <w:bottom w:val="single" w:sz="4" w:space="0" w:color="B7C4CE"/>
          <w:right w:val="single" w:sz="4" w:space="0" w:color="B7C4CE"/>
          <w:insideH w:val="single" w:sz="4" w:space="0" w:color="B7C4CE"/>
          <w:insideV w:val="single" w:sz="4" w:space="0" w:color="B7C4CE"/>
        </w:tblBorders>
        <w:tblLayout w:type="fixed"/>
      </w:tblPr>
      <w:tblGrid>
        <w:gridCol w:w="4876"/>
        <w:gridCol w:w="4876"/>
      </w:tblGrid>
      <w:tr>
        <w:trPr>
          <w:tblHeader w:val="true"/>
        </w:trPr>
        <w:tc>
          <w:tcPr>
            <w:tcW w:type="dxa" w:w="4876"/>
            <w:shd w:val="clear" w:color="auto" w:fill="5A6B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Firma del instructor</w:t>
            </w:r>
          </w:p>
        </w:tc>
        <w:tc>
          <w:tcPr>
            <w:tcW w:type="dxa" w:w="4876"/>
            <w:shd w:val="clear" w:color="auto" w:fill="5A6B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Firma del aprendiz</w:t>
            </w:r>
          </w:p>
        </w:tc>
      </w:tr>
      <w:tr>
        <w:tc>
          <w:tcPr>
            <w:tcW w:type="dxa" w:w="4876"/>
            <w:vAlign w:val="center"/>
          </w:tcPr>
          <w:p>
            <w:pPr>
              <w:spacing w:after="20"/>
            </w:pPr>
            <w:r/>
          </w:p>
          <w:p>
            <w:pPr>
              <w:spacing w:after="20"/>
            </w:pPr>
          </w:p>
          <w:p>
            <w:pPr>
              <w:spacing w:after="20"/>
            </w:pPr>
          </w:p>
        </w:tc>
        <w:tc>
          <w:tcPr>
            <w:tcW w:type="dxa" w:w="4876"/>
            <w:vAlign w:val="center"/>
          </w:tcPr>
          <w:p>
            <w:pPr>
              <w:spacing w:after="20"/>
            </w:pPr>
            <w:r/>
          </w:p>
          <w:p>
            <w:pPr>
              <w:spacing w:after="20"/>
            </w:pPr>
          </w:p>
          <w:p>
            <w:pPr>
              <w:spacing w:after="20"/>
            </w:pP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Instrumento 2. Lista de verificación del estudio de caso y del taller de planeación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E"/>
          <w:left w:val="single" w:sz="4" w:space="0" w:color="B7C4CE"/>
          <w:bottom w:val="single" w:sz="4" w:space="0" w:color="B7C4CE"/>
          <w:right w:val="single" w:sz="4" w:space="0" w:color="B7C4CE"/>
          <w:insideH w:val="single" w:sz="4" w:space="0" w:color="B7C4CE"/>
          <w:insideV w:val="single" w:sz="4" w:space="0" w:color="B7C4CE"/>
        </w:tblBorders>
        <w:tblLayout w:type="fixed"/>
      </w:tblPr>
      <w:tblGrid>
        <w:gridCol w:w="2608"/>
        <w:gridCol w:w="7144"/>
      </w:tblGrid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Programa de formación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Tecnólogo en Análisis y Desarrollo de Software – Código 228118 Versión 1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Ficha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______________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Competencia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220501093 – Evaluar requisitos de la solución de software de acuerdo con metodologías de análisis y estándares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Resultado de aprendizaje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01 Planear actividades de análisis de acuerdo con la metodología seleccionada.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Evidencia de aprendizaje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Desempeño en la práctica guiada: cuadro comparativo de metodologías y tablero de planeación del caso Agrosur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Técnica / instrumento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Observación / lista de verificación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Instructor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Instructor técnico (Tecnólogo o profesional en sistemas y afines)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Aprendiz(ces) / equipo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_______________________________________________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Fecha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______________</w:t>
            </w:r>
          </w:p>
        </w:tc>
      </w:tr>
    </w:tbl>
    <w:p>
      <w:pPr>
        <w:spacing w:after="40"/>
      </w:pP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E"/>
          <w:left w:val="single" w:sz="4" w:space="0" w:color="B7C4CE"/>
          <w:bottom w:val="single" w:sz="4" w:space="0" w:color="B7C4CE"/>
          <w:right w:val="single" w:sz="4" w:space="0" w:color="B7C4CE"/>
          <w:insideH w:val="single" w:sz="4" w:space="0" w:color="B7C4CE"/>
          <w:insideV w:val="single" w:sz="4" w:space="0" w:color="B7C4CE"/>
        </w:tblBorders>
        <w:tblLayout w:type="fixed"/>
      </w:tblPr>
      <w:tblGrid>
        <w:gridCol w:w="510"/>
        <w:gridCol w:w="5443"/>
        <w:gridCol w:w="567"/>
        <w:gridCol w:w="567"/>
        <w:gridCol w:w="2664"/>
      </w:tblGrid>
      <w:tr>
        <w:trPr>
          <w:tblHeader w:val="true"/>
        </w:trPr>
        <w:tc>
          <w:tcPr>
            <w:tcW w:type="dxa" w:w="510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N°</w:t>
            </w:r>
          </w:p>
        </w:tc>
        <w:tc>
          <w:tcPr>
            <w:tcW w:type="dxa" w:w="5443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Indicador / criterio de verificación</w:t>
            </w:r>
          </w:p>
        </w:tc>
        <w:tc>
          <w:tcPr>
            <w:tcW w:type="dxa" w:w="567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Sí</w:t>
            </w:r>
          </w:p>
        </w:tc>
        <w:tc>
          <w:tcPr>
            <w:tcW w:type="dxa" w:w="567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No</w:t>
            </w:r>
          </w:p>
        </w:tc>
        <w:tc>
          <w:tcPr>
            <w:tcW w:type="dxa" w:w="2665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Observaciones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54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★ Analiza los tres casos aplicando los cinco criterios de selección de metodología.</w:t>
            </w:r>
          </w:p>
        </w:tc>
        <w:tc>
          <w:tcPr>
            <w:tcW w:type="dxa" w:w="567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567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2665"/>
            <w:vAlign w:val="center"/>
          </w:tcPr>
          <w:p>
            <w:pPr>
              <w:spacing w:after="20"/>
            </w:pPr>
            <w:r/>
          </w:p>
        </w:tc>
      </w:tr>
      <w:tr>
        <w:tc>
          <w:tcPr>
            <w:tcW w:type="dxa" w:w="510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2</w:t>
            </w:r>
          </w:p>
        </w:tc>
        <w:tc>
          <w:tcPr>
            <w:tcW w:type="dxa" w:w="5443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★ Selecciona una metodología coherente con las características de cada caso.</w:t>
            </w:r>
          </w:p>
        </w:tc>
        <w:tc>
          <w:tcPr>
            <w:tcW w:type="dxa" w:w="567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567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2665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</w:tr>
      <w:tr>
        <w:tc>
          <w:tcPr>
            <w:tcW w:type="dxa" w:w="510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3</w:t>
            </w:r>
          </w:p>
        </w:tc>
        <w:tc>
          <w:tcPr>
            <w:tcW w:type="dxa" w:w="54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Justifica la elección con argumentos técnicos y no solo con preferencias.</w:t>
            </w:r>
          </w:p>
        </w:tc>
        <w:tc>
          <w:tcPr>
            <w:tcW w:type="dxa" w:w="567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567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2665"/>
            <w:vAlign w:val="center"/>
          </w:tcPr>
          <w:p>
            <w:pPr>
              <w:spacing w:after="20"/>
            </w:pPr>
            <w:r/>
          </w:p>
        </w:tc>
      </w:tr>
      <w:tr>
        <w:tc>
          <w:tcPr>
            <w:tcW w:type="dxa" w:w="510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4</w:t>
            </w:r>
          </w:p>
        </w:tc>
        <w:tc>
          <w:tcPr>
            <w:tcW w:type="dxa" w:w="5443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Identifica roles, artefactos y fases o eventos de la metodología elegida.</w:t>
            </w:r>
          </w:p>
        </w:tc>
        <w:tc>
          <w:tcPr>
            <w:tcW w:type="dxa" w:w="567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567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2665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</w:tr>
      <w:tr>
        <w:tc>
          <w:tcPr>
            <w:tcW w:type="dxa" w:w="510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5</w:t>
            </w:r>
          </w:p>
        </w:tc>
        <w:tc>
          <w:tcPr>
            <w:tcW w:type="dxa" w:w="54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★ Lista como mínimo 10 actividades de análisis pertinentes al caso Agrosur.</w:t>
            </w:r>
          </w:p>
        </w:tc>
        <w:tc>
          <w:tcPr>
            <w:tcW w:type="dxa" w:w="567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567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2665"/>
            <w:vAlign w:val="center"/>
          </w:tcPr>
          <w:p>
            <w:pPr>
              <w:spacing w:after="20"/>
            </w:pPr>
            <w:r/>
          </w:p>
        </w:tc>
      </w:tr>
      <w:tr>
        <w:tc>
          <w:tcPr>
            <w:tcW w:type="dxa" w:w="510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6</w:t>
            </w:r>
          </w:p>
        </w:tc>
        <w:tc>
          <w:tcPr>
            <w:tcW w:type="dxa" w:w="5443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Prioriza las actividades con la técnica MoSCoW de forma coherente.</w:t>
            </w:r>
          </w:p>
        </w:tc>
        <w:tc>
          <w:tcPr>
            <w:tcW w:type="dxa" w:w="567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567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2665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</w:tr>
      <w:tr>
        <w:tc>
          <w:tcPr>
            <w:tcW w:type="dxa" w:w="510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7</w:t>
            </w:r>
          </w:p>
        </w:tc>
        <w:tc>
          <w:tcPr>
            <w:tcW w:type="dxa" w:w="54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Estima duraciones realistas cuya suma cabe en el tiempo disponible.</w:t>
            </w:r>
          </w:p>
        </w:tc>
        <w:tc>
          <w:tcPr>
            <w:tcW w:type="dxa" w:w="567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567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2665"/>
            <w:vAlign w:val="center"/>
          </w:tcPr>
          <w:p>
            <w:pPr>
              <w:spacing w:after="20"/>
            </w:pPr>
            <w:r/>
          </w:p>
        </w:tc>
      </w:tr>
      <w:tr>
        <w:tc>
          <w:tcPr>
            <w:tcW w:type="dxa" w:w="510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8</w:t>
            </w:r>
          </w:p>
        </w:tc>
        <w:tc>
          <w:tcPr>
            <w:tcW w:type="dxa" w:w="5443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★ Asigna responsables y fechas, y define entregables por actividad.</w:t>
            </w:r>
          </w:p>
        </w:tc>
        <w:tc>
          <w:tcPr>
            <w:tcW w:type="dxa" w:w="567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567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2665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</w:tr>
      <w:tr>
        <w:tc>
          <w:tcPr>
            <w:tcW w:type="dxa" w:w="510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9</w:t>
            </w:r>
          </w:p>
        </w:tc>
        <w:tc>
          <w:tcPr>
            <w:tcW w:type="dxa" w:w="54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Construye el tablero en una herramienta digital de gestión.</w:t>
            </w:r>
          </w:p>
        </w:tc>
        <w:tc>
          <w:tcPr>
            <w:tcW w:type="dxa" w:w="567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567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2665"/>
            <w:vAlign w:val="center"/>
          </w:tcPr>
          <w:p>
            <w:pPr>
              <w:spacing w:after="20"/>
            </w:pPr>
            <w:r/>
          </w:p>
        </w:tc>
      </w:tr>
      <w:tr>
        <w:tc>
          <w:tcPr>
            <w:tcW w:type="dxa" w:w="510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10</w:t>
            </w:r>
          </w:p>
        </w:tc>
        <w:tc>
          <w:tcPr>
            <w:tcW w:type="dxa" w:w="5443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Participa activamente y respeta los acuerdos del equipo.</w:t>
            </w:r>
          </w:p>
        </w:tc>
        <w:tc>
          <w:tcPr>
            <w:tcW w:type="dxa" w:w="567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567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2665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</w:tr>
    </w:tbl>
    <w:p>
      <w:pPr>
        <w:spacing w:after="40"/>
      </w:pPr>
    </w:p>
    <w:p>
      <w:pPr>
        <w:jc w:val="both"/>
      </w:pPr>
      <w:r>
        <w:rPr>
          <w:b/>
          <w:i w:val="0"/>
        </w:rPr>
        <w:t>Criterio de aprobación:</w:t>
      </w:r>
      <w:r>
        <w:rPr>
          <w:b w:val="0"/>
          <w:i w:val="0"/>
        </w:rPr>
        <w:t xml:space="preserve"> cumplir la totalidad de los indicadores marcados como esenciales (★) y como mínimo el 80 % del total.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E"/>
          <w:left w:val="single" w:sz="4" w:space="0" w:color="B7C4CE"/>
          <w:bottom w:val="single" w:sz="4" w:space="0" w:color="B7C4CE"/>
          <w:right w:val="single" w:sz="4" w:space="0" w:color="B7C4CE"/>
          <w:insideH w:val="single" w:sz="4" w:space="0" w:color="B7C4CE"/>
          <w:insideV w:val="single" w:sz="4" w:space="0" w:color="B7C4CE"/>
        </w:tblBorders>
        <w:tblLayout w:type="fixed"/>
      </w:tblPr>
      <w:tblGrid>
        <w:gridCol w:w="4082"/>
        <w:gridCol w:w="2835"/>
        <w:gridCol w:w="2835"/>
      </w:tblGrid>
      <w:tr>
        <w:trPr>
          <w:tblHeader w:val="true"/>
        </w:trPr>
        <w:tc>
          <w:tcPr>
            <w:tcW w:type="dxa" w:w="4082"/>
            <w:shd w:val="clear" w:color="auto" w:fill="39A900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Juicio de evaluación</w:t>
            </w:r>
          </w:p>
        </w:tc>
        <w:tc>
          <w:tcPr>
            <w:tcW w:type="dxa" w:w="2835"/>
            <w:shd w:val="clear" w:color="auto" w:fill="39A900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Aprobado (A)  ☐</w:t>
            </w:r>
          </w:p>
        </w:tc>
        <w:tc>
          <w:tcPr>
            <w:tcW w:type="dxa" w:w="2835"/>
            <w:shd w:val="clear" w:color="auto" w:fill="39A900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No aprobado (D)  ☐</w:t>
            </w:r>
          </w:p>
        </w:tc>
      </w:tr>
    </w:tbl>
    <w:p>
      <w:pPr>
        <w:spacing w:after="40"/>
      </w:pPr>
    </w:p>
    <w:p>
      <w:pPr>
        <w:jc w:val="both"/>
      </w:pPr>
      <w:r>
        <w:rPr>
          <w:b/>
          <w:i w:val="0"/>
        </w:rPr>
        <w:t>Retroalimentación / plan de mejoramiento:</w:t>
      </w:r>
    </w:p>
    <w:p>
      <w:pPr>
        <w:spacing w:after="40"/>
      </w:pPr>
      <w:r>
        <w:rPr>
          <w:color w:val="B7C4CE"/>
        </w:rPr>
        <w:t>______________________________________________________________________________________</w:t>
      </w:r>
    </w:p>
    <w:p>
      <w:pPr>
        <w:spacing w:after="40"/>
      </w:pPr>
      <w:r>
        <w:rPr>
          <w:color w:val="B7C4CE"/>
        </w:rPr>
        <w:t>______________________________________________________________________________________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E"/>
          <w:left w:val="single" w:sz="4" w:space="0" w:color="B7C4CE"/>
          <w:bottom w:val="single" w:sz="4" w:space="0" w:color="B7C4CE"/>
          <w:right w:val="single" w:sz="4" w:space="0" w:color="B7C4CE"/>
          <w:insideH w:val="single" w:sz="4" w:space="0" w:color="B7C4CE"/>
          <w:insideV w:val="single" w:sz="4" w:space="0" w:color="B7C4CE"/>
        </w:tblBorders>
        <w:tblLayout w:type="fixed"/>
      </w:tblPr>
      <w:tblGrid>
        <w:gridCol w:w="4876"/>
        <w:gridCol w:w="4876"/>
      </w:tblGrid>
      <w:tr>
        <w:trPr>
          <w:tblHeader w:val="true"/>
        </w:trPr>
        <w:tc>
          <w:tcPr>
            <w:tcW w:type="dxa" w:w="4876"/>
            <w:shd w:val="clear" w:color="auto" w:fill="5A6B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Firma del instructor</w:t>
            </w:r>
          </w:p>
        </w:tc>
        <w:tc>
          <w:tcPr>
            <w:tcW w:type="dxa" w:w="4876"/>
            <w:shd w:val="clear" w:color="auto" w:fill="5A6B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Firma del aprendiz</w:t>
            </w:r>
          </w:p>
        </w:tc>
      </w:tr>
      <w:tr>
        <w:tc>
          <w:tcPr>
            <w:tcW w:type="dxa" w:w="4876"/>
            <w:vAlign w:val="center"/>
          </w:tcPr>
          <w:p>
            <w:pPr>
              <w:spacing w:after="20"/>
            </w:pPr>
            <w:r/>
          </w:p>
          <w:p>
            <w:pPr>
              <w:spacing w:after="20"/>
            </w:pPr>
          </w:p>
          <w:p>
            <w:pPr>
              <w:spacing w:after="20"/>
            </w:pPr>
          </w:p>
        </w:tc>
        <w:tc>
          <w:tcPr>
            <w:tcW w:type="dxa" w:w="4876"/>
            <w:vAlign w:val="center"/>
          </w:tcPr>
          <w:p>
            <w:pPr>
              <w:spacing w:after="20"/>
            </w:pPr>
            <w:r/>
          </w:p>
          <w:p>
            <w:pPr>
              <w:spacing w:after="20"/>
            </w:pPr>
          </w:p>
          <w:p>
            <w:pPr>
              <w:spacing w:after="20"/>
            </w:pP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Clave de respuestas – uso exclusivo del instructor</w:t>
      </w:r>
    </w:p>
    <w:p>
      <w:pPr>
        <w:pStyle w:val="Heading2"/>
      </w:pPr>
      <w:r>
        <w:t>Instrumento 1. Cuestionario: metodologías de desarrollo de software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E"/>
          <w:left w:val="single" w:sz="4" w:space="0" w:color="B7C4CE"/>
          <w:bottom w:val="single" w:sz="4" w:space="0" w:color="B7C4CE"/>
          <w:right w:val="single" w:sz="4" w:space="0" w:color="B7C4CE"/>
          <w:insideH w:val="single" w:sz="4" w:space="0" w:color="B7C4CE"/>
          <w:insideV w:val="single" w:sz="4" w:space="0" w:color="B7C4CE"/>
        </w:tblBorders>
        <w:tblLayout w:type="fixed"/>
      </w:tblPr>
      <w:tblGrid>
        <w:gridCol w:w="1134"/>
        <w:gridCol w:w="1360"/>
        <w:gridCol w:w="7257"/>
      </w:tblGrid>
      <w:tr>
        <w:trPr>
          <w:tblHeader w:val="true"/>
        </w:trPr>
        <w:tc>
          <w:tcPr>
            <w:tcW w:type="dxa" w:w="1134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Pregunta</w:t>
            </w:r>
          </w:p>
        </w:tc>
        <w:tc>
          <w:tcPr>
            <w:tcW w:type="dxa" w:w="1361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Respuesta</w:t>
            </w:r>
          </w:p>
        </w:tc>
        <w:tc>
          <w:tcPr>
            <w:tcW w:type="dxa" w:w="7257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Justificación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1</w:t>
            </w:r>
          </w:p>
        </w:tc>
        <w:tc>
          <w:tcPr>
            <w:tcW w:type="dxa" w:w="1361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7257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Definición del Proceso Unificado (Jacobson, Booch y Rumbaugh).</w:t>
            </w:r>
          </w:p>
        </w:tc>
      </w:tr>
      <w:tr>
        <w:tc>
          <w:tcPr>
            <w:tcW w:type="dxa" w:w="1134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2</w:t>
            </w:r>
          </w:p>
        </w:tc>
        <w:tc>
          <w:tcPr>
            <w:tcW w:type="dxa" w:w="1361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d</w:t>
            </w:r>
          </w:p>
        </w:tc>
        <w:tc>
          <w:tcPr>
            <w:tcW w:type="dxa" w:w="7257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La elaboración define y valida la arquitectura base.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3</w:t>
            </w:r>
          </w:p>
        </w:tc>
        <w:tc>
          <w:tcPr>
            <w:tcW w:type="dxa" w:w="1361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7257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Las tres responsabilidades definidas en la Guía Scrum 2020.</w:t>
            </w:r>
          </w:p>
        </w:tc>
      </w:tr>
      <w:tr>
        <w:tc>
          <w:tcPr>
            <w:tcW w:type="dxa" w:w="1134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4</w:t>
            </w:r>
          </w:p>
        </w:tc>
        <w:tc>
          <w:tcPr>
            <w:tcW w:type="dxa" w:w="1361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7257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Los Sprints tienen una duración fija de un mes o menos.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5</w:t>
            </w:r>
          </w:p>
        </w:tc>
        <w:tc>
          <w:tcPr>
            <w:tcW w:type="dxa" w:w="1361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7257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Daily Scrum.</w:t>
            </w:r>
          </w:p>
        </w:tc>
      </w:tr>
      <w:tr>
        <w:tc>
          <w:tcPr>
            <w:tcW w:type="dxa" w:w="1134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6</w:t>
            </w:r>
          </w:p>
        </w:tc>
        <w:tc>
          <w:tcPr>
            <w:tcW w:type="dxa" w:w="1361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7257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Product Backlog.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7</w:t>
            </w:r>
          </w:p>
        </w:tc>
        <w:tc>
          <w:tcPr>
            <w:tcW w:type="dxa" w:w="1361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7257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Prácticas de Programación Extrema.</w:t>
            </w:r>
          </w:p>
        </w:tc>
      </w:tr>
      <w:tr>
        <w:tc>
          <w:tcPr>
            <w:tcW w:type="dxa" w:w="1134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8</w:t>
            </w:r>
          </w:p>
        </w:tc>
        <w:tc>
          <w:tcPr>
            <w:tcW w:type="dxa" w:w="1361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7257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RAD privilegia la velocidad mediante prototipos y reutilización.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9</w:t>
            </w:r>
          </w:p>
        </w:tc>
        <w:tc>
          <w:tcPr>
            <w:tcW w:type="dxa" w:w="1361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7257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La estabilidad y la regulación favorecen enfoques más formales.</w:t>
            </w:r>
          </w:p>
        </w:tc>
      </w:tr>
      <w:tr>
        <w:tc>
          <w:tcPr>
            <w:tcW w:type="dxa" w:w="1134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10</w:t>
            </w:r>
          </w:p>
        </w:tc>
        <w:tc>
          <w:tcPr>
            <w:tcW w:type="dxa" w:w="1361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7257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Las metodologías ágiles gestionan el cambio en iteraciones cortas.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11</w:t>
            </w:r>
          </w:p>
        </w:tc>
        <w:tc>
          <w:tcPr>
            <w:tcW w:type="dxa" w:w="1361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7257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Es uno de los cuatro valores del manifiesto.</w:t>
            </w:r>
          </w:p>
        </w:tc>
      </w:tr>
      <w:tr>
        <w:tc>
          <w:tcPr>
            <w:tcW w:type="dxa" w:w="1134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12</w:t>
            </w:r>
          </w:p>
        </w:tc>
        <w:tc>
          <w:tcPr>
            <w:tcW w:type="dxa" w:w="1361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d</w:t>
            </w:r>
          </w:p>
        </w:tc>
        <w:tc>
          <w:tcPr>
            <w:tcW w:type="dxa" w:w="7257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Must: requisitos obligatorios.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13</w:t>
            </w:r>
          </w:p>
        </w:tc>
        <w:tc>
          <w:tcPr>
            <w:tcW w:type="dxa" w:w="1361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7257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El código de producción corresponde a la fase de construcción.</w:t>
            </w:r>
          </w:p>
        </w:tc>
      </w:tr>
      <w:tr>
        <w:tc>
          <w:tcPr>
            <w:tcW w:type="dxa" w:w="1134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14</w:t>
            </w:r>
          </w:p>
        </w:tc>
        <w:tc>
          <w:tcPr>
            <w:tcW w:type="dxa" w:w="1361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7257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Definición de proyecto.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15</w:t>
            </w:r>
          </w:p>
        </w:tc>
        <w:tc>
          <w:tcPr>
            <w:tcW w:type="dxa" w:w="1361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7257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Criterio de evaluación del RAP 01.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6B78"/>
        <w:sz w:val="16"/>
      </w:rPr>
      <w:t xml:space="preserve">Guía de aprendizaje GFPI-F-135 – Actividad 2 – ADSO 228118   |   Página </w:t>
    </w:r>
    <w:r>
      <w:rPr>
        <w:color w:val="5A6B78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876"/>
      <w:gridCol w:w="4876"/>
    </w:tblGrid>
    <w:tr>
      <w:tc>
        <w:tcPr>
          <w:tcW w:type="dxa" w:w="1134"/>
        </w:tcPr>
        <w:p>
          <w:r>
            <w:drawing>
              <wp:inline xmlns:a="http://schemas.openxmlformats.org/drawingml/2006/main" xmlns:pic="http://schemas.openxmlformats.org/drawingml/2006/picture">
                <wp:extent cx="503999" cy="477036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green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3999" cy="47703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617"/>
          <w:vAlign w:val="center"/>
        </w:tcPr>
        <w:p>
          <w:r>
            <w:rPr>
              <w:b/>
              <w:color w:val="00304D"/>
              <w:sz w:val="18"/>
            </w:rPr>
            <w:t>SERVICIO NACIONAL DE APRENDIZAJE – SENA</w:t>
            <w:br/>
          </w:r>
          <w:r>
            <w:rPr>
              <w:b/>
              <w:color w:val="39A900"/>
              <w:sz w:val="22"/>
            </w:rPr>
            <w:t>INSTRUMENTOS DE EVALUACIÓN</w:t>
            <w:br/>
          </w:r>
          <w:r>
            <w:rPr>
              <w:color w:val="5A6B78"/>
              <w:sz w:val="16"/>
            </w:rPr>
            <w:t>ADSO 228118 · Competencia 220501093 · Sesión 02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="Calibri" w:hAnsi="Calibri"/>
      <w:b/>
      <w:bCs/>
      <w:color w:val="00304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="Calibri" w:hAnsi="Calibri"/>
      <w:b/>
      <w:bCs/>
      <w:color w:val="00304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="Calibri" w:hAnsi="Calibri"/>
      <w:b/>
      <w:bCs/>
      <w:color w:val="39A9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