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04D"/>
          <w:sz w:val="32"/>
        </w:rPr>
        <w:t>Instrumentos de evaluación – Sesión 04</w:t>
      </w:r>
    </w:p>
    <w:p>
      <w:pPr>
        <w:jc w:val="center"/>
      </w:pPr>
      <w:r>
        <w:rPr>
          <w:b/>
          <w:color w:val="39A900"/>
          <w:sz w:val="22"/>
        </w:rPr>
        <w:t>Modelado de las funciones del software con UML</w:t>
      </w:r>
    </w:p>
    <w:p>
      <w:pPr>
        <w:jc w:val="both"/>
      </w:pPr>
      <w:r>
        <w:rPr>
          <w:b w:val="0"/>
          <w:i w:val="0"/>
        </w:rPr>
        <w:t xml:space="preserve">Este documento reúne los instrumentos con los que se valoran las evidencias de la sesión. Cada instrumento inicia en una página nueva. Los cuestionarios y talleres incluyen al final la </w:t>
      </w:r>
      <w:r>
        <w:rPr>
          <w:b/>
          <w:i w:val="0"/>
        </w:rPr>
        <w:t>clave de respuestas para uso exclusivo del instructor</w:t>
      </w:r>
      <w:r>
        <w:rPr>
          <w:b w:val="0"/>
          <w:i w:val="0"/>
        </w:rPr>
        <w:t xml:space="preserve">. La evaluación en el SENA es por competencias: el juicio de cada evidencia es </w:t>
      </w:r>
      <w:r>
        <w:rPr>
          <w:b/>
          <w:i w:val="0"/>
        </w:rPr>
        <w:t>Aprobado (A)</w:t>
      </w:r>
      <w:r>
        <w:rPr>
          <w:b w:val="0"/>
          <w:i w:val="0"/>
        </w:rPr>
        <w:t xml:space="preserve"> o </w:t>
      </w:r>
      <w:r>
        <w:rPr>
          <w:b/>
          <w:i w:val="0"/>
        </w:rPr>
        <w:t>No aprobado (D)</w:t>
      </w:r>
      <w:r>
        <w:rPr>
          <w:b w:val="0"/>
          <w:i w:val="0"/>
        </w:rPr>
        <w:t>, y toda evidencia no aprobada debe tener un plan de mejoramiento.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567"/>
        <w:gridCol w:w="3402"/>
        <w:gridCol w:w="4082"/>
        <w:gridCol w:w="1701"/>
      </w:tblGrid>
      <w:tr>
        <w:trPr>
          <w:tblHeader w:val="true"/>
        </w:trPr>
        <w:tc>
          <w:tcPr>
            <w:tcW w:type="dxa" w:w="567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N°</w:t>
            </w:r>
          </w:p>
        </w:tc>
        <w:tc>
          <w:tcPr>
            <w:tcW w:type="dxa" w:w="3402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Instrumento</w:t>
            </w:r>
          </w:p>
        </w:tc>
        <w:tc>
          <w:tcPr>
            <w:tcW w:type="dxa" w:w="4082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Evidencia que valora</w:t>
            </w:r>
          </w:p>
        </w:tc>
        <w:tc>
          <w:tcPr>
            <w:tcW w:type="dxa" w:w="1701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Tipo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402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Rúbrica del foro temático «UML: el lenguaje común del equipo»</w:t>
            </w:r>
          </w:p>
        </w:tc>
        <w:tc>
          <w:tcPr>
            <w:tcW w:type="dxa" w:w="4082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Conocimiento: explica los elementos y la notación del Lenguaje Unificado de Modelado (UML) mediante un foro temático.</w:t>
            </w:r>
          </w:p>
        </w:tc>
        <w:tc>
          <w:tcPr>
            <w:tcW w:type="dxa" w:w="1701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Conocimiento</w:t>
            </w:r>
          </w:p>
        </w:tc>
      </w:tr>
      <w:tr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3402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Lista de verificación del taller «Del requisito al diagrama»</w:t>
            </w:r>
          </w:p>
        </w:tc>
        <w:tc>
          <w:tcPr>
            <w:tcW w:type="dxa" w:w="4082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Desempeño en la práctica guiada: modelos UML y MER del caso Agrosur</w:t>
            </w:r>
          </w:p>
        </w:tc>
        <w:tc>
          <w:tcPr>
            <w:tcW w:type="dxa" w:w="1701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Desempeño (formativa)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3402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Cuestionario de refuerzo: conceptos de UML y análisis orientado a objetos</w:t>
            </w:r>
          </w:p>
        </w:tc>
        <w:tc>
          <w:tcPr>
            <w:tcW w:type="dxa" w:w="4082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Conocimiento (formativa): conceptos de análisis orientado a objetos y UML</w:t>
            </w:r>
          </w:p>
        </w:tc>
        <w:tc>
          <w:tcPr>
            <w:tcW w:type="dxa" w:w="1701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Conocimiento (formativa)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Instrumento 1. Rúbrica del foro temático «UML: el lenguaje común del equipo»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2608"/>
        <w:gridCol w:w="7144"/>
      </w:tblGrid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Programa de formación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Tecnólogo en Análisis y Desarrollo de Software – Código 228118 Versión 1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Ficha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______________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Competencia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220501093 – Evaluar requisitos de la solución de software de acuerdo con metodologías de análisis y estándares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Resultado de aprendizaje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02 Modelar las funciones del software de acuerdo con el informe de requisitos.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Evidencia de aprendizaje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Conocimiento: explica los elementos y la notación del Lenguaje Unificado de Modelado (UML) mediante un foro temático.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Técnica / instrumento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Valoración de producto / rúbrica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Instructor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Instructor técnico (Tecnólogo o profesional en sistemas y afines)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Aprendiz(ces) / equipo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_______________________________________________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Fecha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______________</w:t>
            </w:r>
          </w:p>
        </w:tc>
      </w:tr>
    </w:tbl>
    <w:p>
      <w:pPr>
        <w:spacing w:after="40"/>
      </w:pP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1871"/>
        <w:gridCol w:w="1984"/>
        <w:gridCol w:w="1984"/>
        <w:gridCol w:w="1984"/>
        <w:gridCol w:w="1927"/>
      </w:tblGrid>
      <w:tr>
        <w:trPr>
          <w:tblHeader w:val="true"/>
        </w:trPr>
        <w:tc>
          <w:tcPr>
            <w:tcW w:type="dxa" w:w="1871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Criterio</w:t>
            </w:r>
          </w:p>
        </w:tc>
        <w:tc>
          <w:tcPr>
            <w:tcW w:type="dxa" w:w="1984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Excelente (5)</w:t>
            </w:r>
          </w:p>
        </w:tc>
        <w:tc>
          <w:tcPr>
            <w:tcW w:type="dxa" w:w="1984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Bueno (4)</w:t>
            </w:r>
          </w:p>
        </w:tc>
        <w:tc>
          <w:tcPr>
            <w:tcW w:type="dxa" w:w="1984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Aceptable (3)</w:t>
            </w:r>
          </w:p>
        </w:tc>
        <w:tc>
          <w:tcPr>
            <w:tcW w:type="dxa" w:w="1928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Insuficiente (1-2)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Dominio conceptual</w:t>
            </w:r>
          </w:p>
        </w:tc>
        <w:tc>
          <w:tcPr>
            <w:tcW w:type="dxa" w:w="198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Explica con precisión el elemento UML, su notación y su propósito.</w:t>
            </w:r>
          </w:p>
        </w:tc>
        <w:tc>
          <w:tcPr>
            <w:tcW w:type="dxa" w:w="198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Explica el elemento con pequeñas imprecisiones.</w:t>
            </w:r>
          </w:p>
        </w:tc>
        <w:tc>
          <w:tcPr>
            <w:tcW w:type="dxa" w:w="198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Explica el elemento de forma general, sin mencionar la notación.</w:t>
            </w:r>
          </w:p>
        </w:tc>
        <w:tc>
          <w:tcPr>
            <w:tcW w:type="dxa" w:w="1928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Explicación errada o ausente.</w:t>
            </w:r>
          </w:p>
        </w:tc>
      </w:tr>
      <w:tr>
        <w:tc>
          <w:tcPr>
            <w:tcW w:type="dxa" w:w="1871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Ejemplo de aplicación</w:t>
            </w:r>
          </w:p>
        </w:tc>
        <w:tc>
          <w:tcPr>
            <w:tcW w:type="dxa" w:w="198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Presenta un ejemplo propio, pertinente y bien modelado.</w:t>
            </w:r>
          </w:p>
        </w:tc>
        <w:tc>
          <w:tcPr>
            <w:tcW w:type="dxa" w:w="198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Presenta un ejemplo pertinente con errores menores.</w:t>
            </w:r>
          </w:p>
        </w:tc>
        <w:tc>
          <w:tcPr>
            <w:tcW w:type="dxa" w:w="198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Presenta un ejemplo genérico o copiado.</w:t>
            </w:r>
          </w:p>
        </w:tc>
        <w:tc>
          <w:tcPr>
            <w:tcW w:type="dxa" w:w="1928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No presenta ejemplo.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Argumentación en respuestas</w:t>
            </w:r>
          </w:p>
        </w:tc>
        <w:tc>
          <w:tcPr>
            <w:tcW w:type="dxa" w:w="198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Responde a dos o más compañeros aportando, corrigiendo o preguntando con argumentos.</w:t>
            </w:r>
          </w:p>
        </w:tc>
        <w:tc>
          <w:tcPr>
            <w:tcW w:type="dxa" w:w="198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Responde a dos compañeros con argumentos parciales.</w:t>
            </w:r>
          </w:p>
        </w:tc>
        <w:tc>
          <w:tcPr>
            <w:tcW w:type="dxa" w:w="198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Responde a un compañero o solo expresa acuerdo.</w:t>
            </w:r>
          </w:p>
        </w:tc>
        <w:tc>
          <w:tcPr>
            <w:tcW w:type="dxa" w:w="1928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No responde.</w:t>
            </w:r>
          </w:p>
        </w:tc>
      </w:tr>
      <w:tr>
        <w:tc>
          <w:tcPr>
            <w:tcW w:type="dxa" w:w="1871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Uso de fuentes</w:t>
            </w:r>
          </w:p>
        </w:tc>
        <w:tc>
          <w:tcPr>
            <w:tcW w:type="dxa" w:w="198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Cita correctamente al menos una fuente pertinente (APA).</w:t>
            </w:r>
          </w:p>
        </w:tc>
        <w:tc>
          <w:tcPr>
            <w:tcW w:type="dxa" w:w="198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Cita una fuente con errores de formato.</w:t>
            </w:r>
          </w:p>
        </w:tc>
        <w:tc>
          <w:tcPr>
            <w:tcW w:type="dxa" w:w="198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Menciona una fuente sin referenciarla.</w:t>
            </w:r>
          </w:p>
        </w:tc>
        <w:tc>
          <w:tcPr>
            <w:tcW w:type="dxa" w:w="1928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No usa fuentes.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Redacción y oportunidad</w:t>
            </w:r>
          </w:p>
        </w:tc>
        <w:tc>
          <w:tcPr>
            <w:tcW w:type="dxa" w:w="198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Redacción clara, sin errores ortográficos y dentro del plazo.</w:t>
            </w:r>
          </w:p>
        </w:tc>
        <w:tc>
          <w:tcPr>
            <w:tcW w:type="dxa" w:w="198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Pocos errores; dentro del plazo.</w:t>
            </w:r>
          </w:p>
        </w:tc>
        <w:tc>
          <w:tcPr>
            <w:tcW w:type="dxa" w:w="198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Varios errores o entrega tardía.</w:t>
            </w:r>
          </w:p>
        </w:tc>
        <w:tc>
          <w:tcPr>
            <w:tcW w:type="dxa" w:w="1928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Texto confuso o no entrega.</w:t>
            </w:r>
          </w:p>
        </w:tc>
      </w:tr>
    </w:tbl>
    <w:p>
      <w:pPr>
        <w:spacing w:after="40"/>
      </w:pPr>
    </w:p>
    <w:p>
      <w:pPr>
        <w:jc w:val="both"/>
      </w:pPr>
      <w:r>
        <w:rPr>
          <w:b/>
          <w:i w:val="0"/>
        </w:rPr>
        <w:t>Valoración:</w:t>
      </w:r>
      <w:r>
        <w:rPr>
          <w:b w:val="0"/>
          <w:i w:val="0"/>
        </w:rPr>
        <w:t xml:space="preserve"> sume los puntajes obtenidos. La evidencia se aprueba con un puntaje igual o superior al 70 % del máximo (25 puntos) y sin criterios en nivel Insuficiente.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6804"/>
        <w:gridCol w:w="2948"/>
      </w:tblGrid>
      <w:tr>
        <w:trPr>
          <w:tblHeader w:val="true"/>
        </w:trPr>
        <w:tc>
          <w:tcPr>
            <w:tcW w:type="dxa" w:w="6803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Criterio</w:t>
            </w:r>
          </w:p>
        </w:tc>
        <w:tc>
          <w:tcPr>
            <w:tcW w:type="dxa" w:w="2948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Puntaje obtenido</w:t>
            </w:r>
          </w:p>
        </w:tc>
      </w:tr>
      <w:tr>
        <w:tc>
          <w:tcPr>
            <w:tcW w:type="dxa" w:w="680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Dominio conceptual</w:t>
            </w:r>
          </w:p>
        </w:tc>
        <w:tc>
          <w:tcPr>
            <w:tcW w:type="dxa" w:w="2948"/>
            <w:vAlign w:val="center"/>
          </w:tcPr>
          <w:p>
            <w:pPr>
              <w:spacing w:after="20"/>
            </w:pPr>
            <w:r/>
          </w:p>
        </w:tc>
      </w:tr>
      <w:tr>
        <w:tc>
          <w:tcPr>
            <w:tcW w:type="dxa" w:w="6803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Ejemplo de aplicación</w:t>
            </w:r>
          </w:p>
        </w:tc>
        <w:tc>
          <w:tcPr>
            <w:tcW w:type="dxa" w:w="2948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</w:tr>
      <w:tr>
        <w:tc>
          <w:tcPr>
            <w:tcW w:type="dxa" w:w="680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Argumentación en respuestas</w:t>
            </w:r>
          </w:p>
        </w:tc>
        <w:tc>
          <w:tcPr>
            <w:tcW w:type="dxa" w:w="2948"/>
            <w:vAlign w:val="center"/>
          </w:tcPr>
          <w:p>
            <w:pPr>
              <w:spacing w:after="20"/>
            </w:pPr>
            <w:r/>
          </w:p>
        </w:tc>
      </w:tr>
      <w:tr>
        <w:tc>
          <w:tcPr>
            <w:tcW w:type="dxa" w:w="6803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Uso de fuentes</w:t>
            </w:r>
          </w:p>
        </w:tc>
        <w:tc>
          <w:tcPr>
            <w:tcW w:type="dxa" w:w="2948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</w:tr>
      <w:tr>
        <w:tc>
          <w:tcPr>
            <w:tcW w:type="dxa" w:w="680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Redacción y oportunidad</w:t>
            </w:r>
          </w:p>
        </w:tc>
        <w:tc>
          <w:tcPr>
            <w:tcW w:type="dxa" w:w="2948"/>
            <w:vAlign w:val="center"/>
          </w:tcPr>
          <w:p>
            <w:pPr>
              <w:spacing w:after="20"/>
            </w:pPr>
            <w:r/>
          </w:p>
        </w:tc>
      </w:tr>
      <w:tr>
        <w:tc>
          <w:tcPr>
            <w:tcW w:type="dxa" w:w="6803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TOTAL</w:t>
            </w:r>
          </w:p>
        </w:tc>
        <w:tc>
          <w:tcPr>
            <w:tcW w:type="dxa" w:w="2948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4082"/>
        <w:gridCol w:w="2835"/>
        <w:gridCol w:w="2835"/>
      </w:tblGrid>
      <w:tr>
        <w:trPr>
          <w:tblHeader w:val="true"/>
        </w:trPr>
        <w:tc>
          <w:tcPr>
            <w:tcW w:type="dxa" w:w="4082"/>
            <w:shd w:val="clear" w:color="auto" w:fill="39A90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Juicio de evaluación</w:t>
            </w:r>
          </w:p>
        </w:tc>
        <w:tc>
          <w:tcPr>
            <w:tcW w:type="dxa" w:w="2835"/>
            <w:shd w:val="clear" w:color="auto" w:fill="39A90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Aprobado (A)  ☐</w:t>
            </w:r>
          </w:p>
        </w:tc>
        <w:tc>
          <w:tcPr>
            <w:tcW w:type="dxa" w:w="2835"/>
            <w:shd w:val="clear" w:color="auto" w:fill="39A90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No aprobado (D)  ☐</w:t>
            </w:r>
          </w:p>
        </w:tc>
      </w:tr>
    </w:tbl>
    <w:p>
      <w:pPr>
        <w:spacing w:after="40"/>
      </w:pPr>
    </w:p>
    <w:p>
      <w:pPr>
        <w:jc w:val="both"/>
      </w:pPr>
      <w:r>
        <w:rPr>
          <w:b/>
          <w:i w:val="0"/>
        </w:rPr>
        <w:t>Retroalimentación / plan de mejoramiento: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4876"/>
        <w:gridCol w:w="4876"/>
      </w:tblGrid>
      <w:tr>
        <w:trPr>
          <w:tblHeader w:val="true"/>
        </w:trPr>
        <w:tc>
          <w:tcPr>
            <w:tcW w:type="dxa" w:w="4876"/>
            <w:shd w:val="clear" w:color="auto" w:fill="5A6B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Firma del instructor</w:t>
            </w:r>
          </w:p>
        </w:tc>
        <w:tc>
          <w:tcPr>
            <w:tcW w:type="dxa" w:w="4876"/>
            <w:shd w:val="clear" w:color="auto" w:fill="5A6B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Firma del aprendiz</w:t>
            </w:r>
          </w:p>
        </w:tc>
      </w:tr>
      <w:tr>
        <w:tc>
          <w:tcPr>
            <w:tcW w:type="dxa" w:w="4876"/>
            <w:vAlign w:val="center"/>
          </w:tcPr>
          <w:p>
            <w:pPr>
              <w:spacing w:after="20"/>
            </w:pPr>
            <w:r/>
          </w:p>
          <w:p>
            <w:pPr>
              <w:spacing w:after="20"/>
            </w:pPr>
          </w:p>
          <w:p>
            <w:pPr>
              <w:spacing w:after="20"/>
            </w:pPr>
          </w:p>
        </w:tc>
        <w:tc>
          <w:tcPr>
            <w:tcW w:type="dxa" w:w="4876"/>
            <w:vAlign w:val="center"/>
          </w:tcPr>
          <w:p>
            <w:pPr>
              <w:spacing w:after="20"/>
            </w:pPr>
            <w:r/>
          </w:p>
          <w:p>
            <w:pPr>
              <w:spacing w:after="20"/>
            </w:pPr>
          </w:p>
          <w:p>
            <w:pPr>
              <w:spacing w:after="20"/>
            </w:pP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Instrumento 2. Lista de verificación del taller «Del requisito al diagrama»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2608"/>
        <w:gridCol w:w="7144"/>
      </w:tblGrid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Programa de formación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Tecnólogo en Análisis y Desarrollo de Software – Código 228118 Versión 1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Ficha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______________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Competencia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220501093 – Evaluar requisitos de la solución de software de acuerdo con metodologías de análisis y estándares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Resultado de aprendizaje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02 Modelar las funciones del software de acuerdo con el informe de requisitos.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Evidencia de aprendizaje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Desempeño en la práctica guiada: modelos UML y MER del caso Agrosur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Técnica / instrumento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Observación / lista de verificación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Instructor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Instructor técnico (Tecnólogo o profesional en sistemas y afines)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Aprendiz(ces) / equipo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_______________________________________________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Fecha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______________</w:t>
            </w:r>
          </w:p>
        </w:tc>
      </w:tr>
    </w:tbl>
    <w:p>
      <w:pPr>
        <w:spacing w:after="40"/>
      </w:pP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510"/>
        <w:gridCol w:w="5443"/>
        <w:gridCol w:w="567"/>
        <w:gridCol w:w="567"/>
        <w:gridCol w:w="2664"/>
      </w:tblGrid>
      <w:tr>
        <w:trPr>
          <w:tblHeader w:val="true"/>
        </w:trPr>
        <w:tc>
          <w:tcPr>
            <w:tcW w:type="dxa" w:w="510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N°</w:t>
            </w:r>
          </w:p>
        </w:tc>
        <w:tc>
          <w:tcPr>
            <w:tcW w:type="dxa" w:w="5443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Indicador / criterio de verificación</w:t>
            </w:r>
          </w:p>
        </w:tc>
        <w:tc>
          <w:tcPr>
            <w:tcW w:type="dxa" w:w="567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Sí</w:t>
            </w:r>
          </w:p>
        </w:tc>
        <w:tc>
          <w:tcPr>
            <w:tcW w:type="dxa" w:w="567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2665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54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★ Identifica todos los actores del caso (administrador, bodeguero, vendedor) y los describe.</w:t>
            </w:r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5443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★ El diagrama de casos de uso incluye el límite del sistema y casos de uso nombrados con verbo en infinitivo.</w:t>
            </w:r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54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Usa correctamente las relaciones «include», «extend» y generalización.</w:t>
            </w:r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5443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★ Las plantillas extendidas tienen precondiciones, flujo básico alternado actor/sistema, flujos alternos y postcondiciones.</w:t>
            </w:r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W w:type="dxa" w:w="54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El diagrama de actividades usa nodo inicial, acciones, decisiones con guardas, carriles y nodo final.</w:t>
            </w:r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6</w:t>
            </w:r>
          </w:p>
        </w:tc>
        <w:tc>
          <w:tcPr>
            <w:tcW w:type="dxa" w:w="5443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★ El modelo de dominio tiene mínimo 6 clases conceptuales con atributos, asociaciones y multiplicidades correctas.</w:t>
            </w:r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7</w:t>
            </w:r>
          </w:p>
        </w:tc>
        <w:tc>
          <w:tcPr>
            <w:tcW w:type="dxa" w:w="54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El MER identifica llaves primarias y resuelve las relaciones N:M.</w:t>
            </w:r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8</w:t>
            </w:r>
          </w:p>
        </w:tc>
        <w:tc>
          <w:tcPr>
            <w:tcW w:type="dxa" w:w="5443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Las historias de usuario siguen el formato rol–funcionalidad–beneficio con criterios de aceptación.</w:t>
            </w:r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9</w:t>
            </w:r>
          </w:p>
        </w:tc>
        <w:tc>
          <w:tcPr>
            <w:tcW w:type="dxa" w:w="54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★ Cada requisito funcional está representado en al menos un caso de uso.</w:t>
            </w:r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10</w:t>
            </w:r>
          </w:p>
        </w:tc>
        <w:tc>
          <w:tcPr>
            <w:tcW w:type="dxa" w:w="5443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Usa una herramienta CASE para elaborar los diagramas.</w:t>
            </w:r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p>
      <w:pPr>
        <w:jc w:val="both"/>
      </w:pPr>
      <w:r>
        <w:rPr>
          <w:b/>
          <w:i w:val="0"/>
        </w:rPr>
        <w:t>Criterio de aprobación:</w:t>
      </w:r>
      <w:r>
        <w:rPr>
          <w:b w:val="0"/>
          <w:i w:val="0"/>
        </w:rPr>
        <w:t xml:space="preserve"> cumplir la totalidad de los indicadores marcados como esenciales (★) y como mínimo el 80 % del total.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4082"/>
        <w:gridCol w:w="2835"/>
        <w:gridCol w:w="2835"/>
      </w:tblGrid>
      <w:tr>
        <w:trPr>
          <w:tblHeader w:val="true"/>
        </w:trPr>
        <w:tc>
          <w:tcPr>
            <w:tcW w:type="dxa" w:w="4082"/>
            <w:shd w:val="clear" w:color="auto" w:fill="39A90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Juicio de evaluación</w:t>
            </w:r>
          </w:p>
        </w:tc>
        <w:tc>
          <w:tcPr>
            <w:tcW w:type="dxa" w:w="2835"/>
            <w:shd w:val="clear" w:color="auto" w:fill="39A90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Aprobado (A)  ☐</w:t>
            </w:r>
          </w:p>
        </w:tc>
        <w:tc>
          <w:tcPr>
            <w:tcW w:type="dxa" w:w="2835"/>
            <w:shd w:val="clear" w:color="auto" w:fill="39A90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No aprobado (D)  ☐</w:t>
            </w:r>
          </w:p>
        </w:tc>
      </w:tr>
    </w:tbl>
    <w:p>
      <w:pPr>
        <w:spacing w:after="40"/>
      </w:pPr>
    </w:p>
    <w:p>
      <w:pPr>
        <w:jc w:val="both"/>
      </w:pPr>
      <w:r>
        <w:rPr>
          <w:b/>
          <w:i w:val="0"/>
        </w:rPr>
        <w:t>Retroalimentación / plan de mejoramiento: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4876"/>
        <w:gridCol w:w="4876"/>
      </w:tblGrid>
      <w:tr>
        <w:trPr>
          <w:tblHeader w:val="true"/>
        </w:trPr>
        <w:tc>
          <w:tcPr>
            <w:tcW w:type="dxa" w:w="4876"/>
            <w:shd w:val="clear" w:color="auto" w:fill="5A6B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Firma del instructor</w:t>
            </w:r>
          </w:p>
        </w:tc>
        <w:tc>
          <w:tcPr>
            <w:tcW w:type="dxa" w:w="4876"/>
            <w:shd w:val="clear" w:color="auto" w:fill="5A6B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Firma del aprendiz</w:t>
            </w:r>
          </w:p>
        </w:tc>
      </w:tr>
      <w:tr>
        <w:tc>
          <w:tcPr>
            <w:tcW w:type="dxa" w:w="4876"/>
            <w:vAlign w:val="center"/>
          </w:tcPr>
          <w:p>
            <w:pPr>
              <w:spacing w:after="20"/>
            </w:pPr>
            <w:r/>
          </w:p>
          <w:p>
            <w:pPr>
              <w:spacing w:after="20"/>
            </w:pPr>
          </w:p>
          <w:p>
            <w:pPr>
              <w:spacing w:after="20"/>
            </w:pPr>
          </w:p>
        </w:tc>
        <w:tc>
          <w:tcPr>
            <w:tcW w:type="dxa" w:w="4876"/>
            <w:vAlign w:val="center"/>
          </w:tcPr>
          <w:p>
            <w:pPr>
              <w:spacing w:after="20"/>
            </w:pPr>
            <w:r/>
          </w:p>
          <w:p>
            <w:pPr>
              <w:spacing w:after="20"/>
            </w:pPr>
          </w:p>
          <w:p>
            <w:pPr>
              <w:spacing w:after="20"/>
            </w:pP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Instrumento 3. Cuestionario de refuerzo: conceptos de UML y análisis orientado a objetos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2608"/>
        <w:gridCol w:w="7144"/>
      </w:tblGrid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Programa de formación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Tecnólogo en Análisis y Desarrollo de Software – Código 228118 Versión 1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Ficha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______________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Competencia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220501093 – Evaluar requisitos de la solución de software de acuerdo con metodologías de análisis y estándares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Resultado de aprendizaje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02 Modelar las funciones del software de acuerdo con el informe de requisitos.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Evidencia de aprendizaje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Conocimiento (formativa): conceptos de análisis orientado a objetos y UML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Técnica / instrumento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Formulación de preguntas / cuestionario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Instructor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Instructor técnico (Tecnólogo o profesional en sistemas y afines)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Aprendiz(ces) / equipo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_______________________________________________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Fecha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______________</w:t>
            </w:r>
          </w:p>
        </w:tc>
      </w:tr>
    </w:tbl>
    <w:p>
      <w:pPr>
        <w:spacing w:after="40"/>
      </w:pPr>
    </w:p>
    <w:p>
      <w:pPr>
        <w:jc w:val="both"/>
      </w:pPr>
      <w:r>
        <w:rPr>
          <w:b/>
          <w:i w:val="0"/>
        </w:rPr>
        <w:t>Instrucciones:</w:t>
      </w:r>
      <w:r>
        <w:rPr>
          <w:b w:val="0"/>
          <w:i w:val="0"/>
        </w:rPr>
        <w:t xml:space="preserve"> Seleccione una única respuesta. Tiempo: 30 minutos.</w:t>
      </w:r>
    </w:p>
    <w:p>
      <w:pPr>
        <w:keepNext/>
        <w:jc w:val="both"/>
      </w:pPr>
      <w:r>
        <w:rPr>
          <w:b/>
          <w:i w:val="0"/>
        </w:rPr>
        <w:t>1.</w:t>
      </w:r>
      <w:r>
        <w:rPr>
          <w:b w:val="0"/>
          <w:i w:val="0"/>
        </w:rPr>
        <w:t xml:space="preserve"> En UML, la relación «include» entre dos casos de uso indica que:</w:t>
      </w:r>
    </w:p>
    <w:p>
      <w:pPr>
        <w:keepNext/>
        <w:spacing w:after="20"/>
        <w:ind w:left="510"/>
      </w:pPr>
      <w:r>
        <w:rPr>
          <w:b w:val="0"/>
          <w:i w:val="0"/>
        </w:rPr>
        <w:t>a) El caso incluido se ejecuta solo bajo una condición</w:t>
      </w:r>
    </w:p>
    <w:p>
      <w:pPr>
        <w:keepNext/>
        <w:spacing w:after="20"/>
        <w:ind w:left="510"/>
      </w:pPr>
      <w:r>
        <w:rPr>
          <w:b w:val="0"/>
          <w:i w:val="0"/>
        </w:rPr>
        <w:t>b) Un actor hereda de otro</w:t>
      </w:r>
    </w:p>
    <w:p>
      <w:pPr>
        <w:keepNext/>
        <w:spacing w:after="20"/>
        <w:ind w:left="510"/>
      </w:pPr>
      <w:r>
        <w:rPr>
          <w:b w:val="0"/>
          <w:i w:val="0"/>
        </w:rPr>
        <w:t>c) El caso incluido se ejecuta siempre como parte del caso base</w:t>
      </w:r>
    </w:p>
    <w:p>
      <w:pPr>
        <w:spacing w:after="20"/>
        <w:ind w:left="510"/>
      </w:pPr>
      <w:r>
        <w:rPr>
          <w:b w:val="0"/>
          <w:i w:val="0"/>
        </w:rPr>
        <w:t>d) Los casos de uso son iguales</w:t>
      </w:r>
    </w:p>
    <w:p>
      <w:pPr>
        <w:keepNext/>
        <w:jc w:val="both"/>
      </w:pPr>
      <w:r>
        <w:rPr>
          <w:b/>
          <w:i w:val="0"/>
        </w:rPr>
        <w:t>2.</w:t>
      </w:r>
      <w:r>
        <w:rPr>
          <w:b w:val="0"/>
          <w:i w:val="0"/>
        </w:rPr>
        <w:t xml:space="preserve"> La relación «extend» indica que:</w:t>
      </w:r>
    </w:p>
    <w:p>
      <w:pPr>
        <w:keepNext/>
        <w:spacing w:after="20"/>
        <w:ind w:left="510"/>
      </w:pPr>
      <w:r>
        <w:rPr>
          <w:b w:val="0"/>
          <w:i w:val="0"/>
        </w:rPr>
        <w:t>a) El caso extendido siempre ocurre</w:t>
      </w:r>
    </w:p>
    <w:p>
      <w:pPr>
        <w:keepNext/>
        <w:spacing w:after="20"/>
        <w:ind w:left="510"/>
      </w:pPr>
      <w:r>
        <w:rPr>
          <w:b w:val="0"/>
          <w:i w:val="0"/>
        </w:rPr>
        <w:t>b) Dos actores se comunican</w:t>
      </w:r>
    </w:p>
    <w:p>
      <w:pPr>
        <w:keepNext/>
        <w:spacing w:after="20"/>
        <w:ind w:left="510"/>
      </w:pPr>
      <w:r>
        <w:rPr>
          <w:b w:val="0"/>
          <w:i w:val="0"/>
        </w:rPr>
        <w:t>c) Un comportamiento opcional se agrega al caso base bajo una condición</w:t>
      </w:r>
    </w:p>
    <w:p>
      <w:pPr>
        <w:spacing w:after="20"/>
        <w:ind w:left="510"/>
      </w:pPr>
      <w:r>
        <w:rPr>
          <w:b w:val="0"/>
          <w:i w:val="0"/>
        </w:rPr>
        <w:t>d) Se crea una base de datos</w:t>
      </w:r>
    </w:p>
    <w:p>
      <w:pPr>
        <w:keepNext/>
        <w:jc w:val="both"/>
      </w:pPr>
      <w:r>
        <w:rPr>
          <w:b/>
          <w:i w:val="0"/>
        </w:rPr>
        <w:t>3.</w:t>
      </w:r>
      <w:r>
        <w:rPr>
          <w:b w:val="0"/>
          <w:i w:val="0"/>
        </w:rPr>
        <w:t xml:space="preserve"> ¿Cuál de los siguientes es un nombre correcto de caso de uso?</w:t>
      </w:r>
    </w:p>
    <w:p>
      <w:pPr>
        <w:keepNext/>
        <w:spacing w:after="20"/>
        <w:ind w:left="510"/>
      </w:pPr>
      <w:r>
        <w:rPr>
          <w:b w:val="0"/>
          <w:i w:val="0"/>
        </w:rPr>
        <w:t>a) Botón guardar</w:t>
      </w:r>
    </w:p>
    <w:p>
      <w:pPr>
        <w:keepNext/>
        <w:spacing w:after="20"/>
        <w:ind w:left="510"/>
      </w:pPr>
      <w:r>
        <w:rPr>
          <w:b w:val="0"/>
          <w:i w:val="0"/>
        </w:rPr>
        <w:t>b) Tabla productos</w:t>
      </w:r>
    </w:p>
    <w:p>
      <w:pPr>
        <w:keepNext/>
        <w:spacing w:after="20"/>
        <w:ind w:left="510"/>
      </w:pPr>
      <w:r>
        <w:rPr>
          <w:b w:val="0"/>
          <w:i w:val="0"/>
        </w:rPr>
        <w:t>c) Registrar venta</w:t>
      </w:r>
    </w:p>
    <w:p>
      <w:pPr>
        <w:spacing w:after="20"/>
        <w:ind w:left="510"/>
      </w:pPr>
      <w:r>
        <w:rPr>
          <w:b w:val="0"/>
          <w:i w:val="0"/>
        </w:rPr>
        <w:t>d) Pantalla de ventas</w:t>
      </w:r>
    </w:p>
    <w:p>
      <w:pPr>
        <w:keepNext/>
        <w:jc w:val="both"/>
      </w:pPr>
      <w:r>
        <w:rPr>
          <w:b/>
          <w:i w:val="0"/>
        </w:rPr>
        <w:t>4.</w:t>
      </w:r>
      <w:r>
        <w:rPr>
          <w:b w:val="0"/>
          <w:i w:val="0"/>
        </w:rPr>
        <w:t xml:space="preserve"> En la multiplicidad «1..*», el asterisco significa:</w:t>
      </w:r>
    </w:p>
    <w:p>
      <w:pPr>
        <w:keepNext/>
        <w:spacing w:after="20"/>
        <w:ind w:left="510"/>
      </w:pPr>
      <w:r>
        <w:rPr>
          <w:b w:val="0"/>
          <w:i w:val="0"/>
        </w:rPr>
        <w:t>a) Error de notación</w:t>
      </w:r>
    </w:p>
    <w:p>
      <w:pPr>
        <w:keepNext/>
        <w:spacing w:after="20"/>
        <w:ind w:left="510"/>
      </w:pPr>
      <w:r>
        <w:rPr>
          <w:b w:val="0"/>
          <w:i w:val="0"/>
        </w:rPr>
        <w:t>b) Muchos (sin límite superior)</w:t>
      </w:r>
    </w:p>
    <w:p>
      <w:pPr>
        <w:keepNext/>
        <w:spacing w:after="20"/>
        <w:ind w:left="510"/>
      </w:pPr>
      <w:r>
        <w:rPr>
          <w:b w:val="0"/>
          <w:i w:val="0"/>
        </w:rPr>
        <w:t>c) Ninguno</w:t>
      </w:r>
    </w:p>
    <w:p>
      <w:pPr>
        <w:spacing w:after="20"/>
        <w:ind w:left="510"/>
      </w:pPr>
      <w:r>
        <w:rPr>
          <w:b w:val="0"/>
          <w:i w:val="0"/>
        </w:rPr>
        <w:t>d) Exactamente uno</w:t>
      </w:r>
    </w:p>
    <w:p>
      <w:pPr>
        <w:keepNext/>
        <w:jc w:val="both"/>
      </w:pPr>
      <w:r>
        <w:rPr>
          <w:b/>
          <w:i w:val="0"/>
        </w:rPr>
        <w:t>5.</w:t>
      </w:r>
      <w:r>
        <w:rPr>
          <w:b w:val="0"/>
          <w:i w:val="0"/>
        </w:rPr>
        <w:t xml:space="preserve"> Una «Venta» que contiene sus «DetalleVenta», los cuales no existen sin la venta, es una relación de:</w:t>
      </w:r>
    </w:p>
    <w:p>
      <w:pPr>
        <w:keepNext/>
        <w:spacing w:after="20"/>
        <w:ind w:left="510"/>
      </w:pPr>
      <w:r>
        <w:rPr>
          <w:b w:val="0"/>
          <w:i w:val="0"/>
        </w:rPr>
        <w:t>a) Asociación simple</w:t>
      </w:r>
    </w:p>
    <w:p>
      <w:pPr>
        <w:keepNext/>
        <w:spacing w:after="20"/>
        <w:ind w:left="510"/>
      </w:pPr>
      <w:r>
        <w:rPr>
          <w:b w:val="0"/>
          <w:i w:val="0"/>
        </w:rPr>
        <w:t>b) Dependencia</w:t>
      </w:r>
    </w:p>
    <w:p>
      <w:pPr>
        <w:keepNext/>
        <w:spacing w:after="20"/>
        <w:ind w:left="510"/>
      </w:pPr>
      <w:r>
        <w:rPr>
          <w:b w:val="0"/>
          <w:i w:val="0"/>
        </w:rPr>
        <w:t>c) Generalización</w:t>
      </w:r>
    </w:p>
    <w:p>
      <w:pPr>
        <w:spacing w:after="20"/>
        <w:ind w:left="510"/>
      </w:pPr>
      <w:r>
        <w:rPr>
          <w:b w:val="0"/>
          <w:i w:val="0"/>
        </w:rPr>
        <w:t>d) Composición</w:t>
      </w:r>
    </w:p>
    <w:p>
      <w:pPr>
        <w:keepNext/>
        <w:jc w:val="both"/>
      </w:pPr>
      <w:r>
        <w:rPr>
          <w:b/>
          <w:i w:val="0"/>
        </w:rPr>
        <w:t>6.</w:t>
      </w:r>
      <w:r>
        <w:rPr>
          <w:b w:val="0"/>
          <w:i w:val="0"/>
        </w:rPr>
        <w:t xml:space="preserve"> En un diagrama de actividades, el rombo representa:</w:t>
      </w:r>
    </w:p>
    <w:p>
      <w:pPr>
        <w:keepNext/>
        <w:spacing w:after="20"/>
        <w:ind w:left="510"/>
      </w:pPr>
      <w:r>
        <w:rPr>
          <w:b w:val="0"/>
          <w:i w:val="0"/>
        </w:rPr>
        <w:t>a) Un actor</w:t>
      </w:r>
    </w:p>
    <w:p>
      <w:pPr>
        <w:keepNext/>
        <w:spacing w:after="20"/>
        <w:ind w:left="510"/>
      </w:pPr>
      <w:r>
        <w:rPr>
          <w:b w:val="0"/>
          <w:i w:val="0"/>
        </w:rPr>
        <w:t>b) El fin del flujo</w:t>
      </w:r>
    </w:p>
    <w:p>
      <w:pPr>
        <w:keepNext/>
        <w:spacing w:after="20"/>
        <w:ind w:left="510"/>
      </w:pPr>
      <w:r>
        <w:rPr>
          <w:b w:val="0"/>
          <w:i w:val="0"/>
        </w:rPr>
        <w:t>c) Una decisión o fusión</w:t>
      </w:r>
    </w:p>
    <w:p>
      <w:pPr>
        <w:spacing w:after="20"/>
        <w:ind w:left="510"/>
      </w:pPr>
      <w:r>
        <w:rPr>
          <w:b w:val="0"/>
          <w:i w:val="0"/>
        </w:rPr>
        <w:t>d) Una acción</w:t>
      </w:r>
    </w:p>
    <w:p>
      <w:pPr>
        <w:keepNext/>
        <w:jc w:val="both"/>
      </w:pPr>
      <w:r>
        <w:rPr>
          <w:b/>
          <w:i w:val="0"/>
        </w:rPr>
        <w:t>7.</w:t>
      </w:r>
      <w:r>
        <w:rPr>
          <w:b w:val="0"/>
          <w:i w:val="0"/>
        </w:rPr>
        <w:t xml:space="preserve"> Los carriles (particiones) en un diagrama de actividades sirven para:</w:t>
      </w:r>
    </w:p>
    <w:p>
      <w:pPr>
        <w:keepNext/>
        <w:spacing w:after="20"/>
        <w:ind w:left="510"/>
      </w:pPr>
      <w:r>
        <w:rPr>
          <w:b w:val="0"/>
          <w:i w:val="0"/>
        </w:rPr>
        <w:t>a) Numerar los pasos</w:t>
      </w:r>
    </w:p>
    <w:p>
      <w:pPr>
        <w:keepNext/>
        <w:spacing w:after="20"/>
        <w:ind w:left="510"/>
      </w:pPr>
      <w:r>
        <w:rPr>
          <w:b w:val="0"/>
          <w:i w:val="0"/>
        </w:rPr>
        <w:t>b) Indicar quién realiza cada acción</w:t>
      </w:r>
    </w:p>
    <w:p>
      <w:pPr>
        <w:keepNext/>
        <w:spacing w:after="20"/>
        <w:ind w:left="510"/>
      </w:pPr>
      <w:r>
        <w:rPr>
          <w:b w:val="0"/>
          <w:i w:val="0"/>
        </w:rPr>
        <w:t>c) Indicar la base de datos</w:t>
      </w:r>
    </w:p>
    <w:p>
      <w:pPr>
        <w:spacing w:after="20"/>
        <w:ind w:left="510"/>
      </w:pPr>
      <w:r>
        <w:rPr>
          <w:b w:val="0"/>
          <w:i w:val="0"/>
        </w:rPr>
        <w:t>d) Dibujar clases</w:t>
      </w:r>
    </w:p>
    <w:p>
      <w:pPr>
        <w:keepNext/>
        <w:jc w:val="both"/>
      </w:pPr>
      <w:r>
        <w:rPr>
          <w:b/>
          <w:i w:val="0"/>
        </w:rPr>
        <w:t>8.</w:t>
      </w:r>
      <w:r>
        <w:rPr>
          <w:b w:val="0"/>
          <w:i w:val="0"/>
        </w:rPr>
        <w:t xml:space="preserve"> El modelo de dominio representa:</w:t>
      </w:r>
    </w:p>
    <w:p>
      <w:pPr>
        <w:keepNext/>
        <w:spacing w:after="20"/>
        <w:ind w:left="510"/>
      </w:pPr>
      <w:r>
        <w:rPr>
          <w:b w:val="0"/>
          <w:i w:val="0"/>
        </w:rPr>
        <w:t>a) Las tablas físicas con tipos de datos</w:t>
      </w:r>
    </w:p>
    <w:p>
      <w:pPr>
        <w:keepNext/>
        <w:spacing w:after="20"/>
        <w:ind w:left="510"/>
      </w:pPr>
      <w:r>
        <w:rPr>
          <w:b w:val="0"/>
          <w:i w:val="0"/>
        </w:rPr>
        <w:t>b) El código fuente</w:t>
      </w:r>
    </w:p>
    <w:p>
      <w:pPr>
        <w:keepNext/>
        <w:spacing w:after="20"/>
        <w:ind w:left="510"/>
      </w:pPr>
      <w:r>
        <w:rPr>
          <w:b w:val="0"/>
          <w:i w:val="0"/>
        </w:rPr>
        <w:t>c) Las pantallas del sistema</w:t>
      </w:r>
    </w:p>
    <w:p>
      <w:pPr>
        <w:spacing w:after="20"/>
        <w:ind w:left="510"/>
      </w:pPr>
      <w:r>
        <w:rPr>
          <w:b w:val="0"/>
          <w:i w:val="0"/>
        </w:rPr>
        <w:t>d) Las clases conceptuales del negocio y sus relaciones</w:t>
      </w:r>
    </w:p>
    <w:p>
      <w:pPr>
        <w:keepNext/>
        <w:jc w:val="both"/>
      </w:pPr>
      <w:r>
        <w:rPr>
          <w:b/>
          <w:i w:val="0"/>
        </w:rPr>
        <w:t>9.</w:t>
      </w:r>
      <w:r>
        <w:rPr>
          <w:b w:val="0"/>
          <w:i w:val="0"/>
        </w:rPr>
        <w:t xml:space="preserve"> En el modelo entidad relación, una relación muchos a muchos entre Venta y Producto se resuelve con:</w:t>
      </w:r>
    </w:p>
    <w:p>
      <w:pPr>
        <w:keepNext/>
        <w:spacing w:after="20"/>
        <w:ind w:left="510"/>
      </w:pPr>
      <w:r>
        <w:rPr>
          <w:b w:val="0"/>
          <w:i w:val="0"/>
        </w:rPr>
        <w:t>a) Una llave foránea en ambas tablas sin entidad nueva</w:t>
      </w:r>
    </w:p>
    <w:p>
      <w:pPr>
        <w:keepNext/>
        <w:spacing w:after="20"/>
        <w:ind w:left="510"/>
      </w:pPr>
      <w:r>
        <w:rPr>
          <w:b w:val="0"/>
          <w:i w:val="0"/>
        </w:rPr>
        <w:t>b) Eliminando una entidad</w:t>
      </w:r>
    </w:p>
    <w:p>
      <w:pPr>
        <w:keepNext/>
        <w:spacing w:after="20"/>
        <w:ind w:left="510"/>
      </w:pPr>
      <w:r>
        <w:rPr>
          <w:b w:val="0"/>
          <w:i w:val="0"/>
        </w:rPr>
        <w:t>c) Un atributo multivalor</w:t>
      </w:r>
    </w:p>
    <w:p>
      <w:pPr>
        <w:spacing w:after="20"/>
        <w:ind w:left="510"/>
      </w:pPr>
      <w:r>
        <w:rPr>
          <w:b w:val="0"/>
          <w:i w:val="0"/>
        </w:rPr>
        <w:t>d) Una entidad intermedia (DetalleVenta)</w:t>
      </w:r>
    </w:p>
    <w:p>
      <w:pPr>
        <w:keepNext/>
        <w:jc w:val="both"/>
      </w:pPr>
      <w:r>
        <w:rPr>
          <w:b/>
          <w:i w:val="0"/>
        </w:rPr>
        <w:t>10.</w:t>
      </w:r>
      <w:r>
        <w:rPr>
          <w:b w:val="0"/>
          <w:i w:val="0"/>
        </w:rPr>
        <w:t xml:space="preserve"> Una herramienta CASE es:</w:t>
      </w:r>
    </w:p>
    <w:p>
      <w:pPr>
        <w:keepNext/>
        <w:spacing w:after="20"/>
        <w:ind w:left="510"/>
      </w:pPr>
      <w:r>
        <w:rPr>
          <w:b w:val="0"/>
          <w:i w:val="0"/>
        </w:rPr>
        <w:t>a) Software de apoyo a la ingeniería de software, por ejemplo para modelar diagramas</w:t>
      </w:r>
    </w:p>
    <w:p>
      <w:pPr>
        <w:keepNext/>
        <w:spacing w:after="20"/>
        <w:ind w:left="510"/>
      </w:pPr>
      <w:r>
        <w:rPr>
          <w:b w:val="0"/>
          <w:i w:val="0"/>
        </w:rPr>
        <w:t>b) Un framework web</w:t>
      </w:r>
    </w:p>
    <w:p>
      <w:pPr>
        <w:keepNext/>
        <w:spacing w:after="20"/>
        <w:ind w:left="510"/>
      </w:pPr>
      <w:r>
        <w:rPr>
          <w:b w:val="0"/>
          <w:i w:val="0"/>
        </w:rPr>
        <w:t>c) Un lenguaje de programación</w:t>
      </w:r>
    </w:p>
    <w:p>
      <w:pPr>
        <w:spacing w:after="20"/>
        <w:ind w:left="510"/>
      </w:pPr>
      <w:r>
        <w:rPr>
          <w:b w:val="0"/>
          <w:i w:val="0"/>
        </w:rPr>
        <w:t>d) Un tipo de servidor</w:t>
      </w:r>
    </w:p>
    <w:p>
      <w:pPr>
        <w:keepNext/>
        <w:jc w:val="both"/>
      </w:pPr>
      <w:r>
        <w:rPr>
          <w:b/>
          <w:i w:val="0"/>
        </w:rPr>
        <w:t>11.</w:t>
      </w:r>
      <w:r>
        <w:rPr>
          <w:b w:val="0"/>
          <w:i w:val="0"/>
        </w:rPr>
        <w:t xml:space="preserve"> La postcondición de un caso de uso describe:</w:t>
      </w:r>
    </w:p>
    <w:p>
      <w:pPr>
        <w:keepNext/>
        <w:spacing w:after="20"/>
        <w:ind w:left="510"/>
      </w:pPr>
      <w:r>
        <w:rPr>
          <w:b w:val="0"/>
          <w:i w:val="0"/>
        </w:rPr>
        <w:t>a) El estado del sistema al terminar el caso de uso con éxito</w:t>
      </w:r>
    </w:p>
    <w:p>
      <w:pPr>
        <w:keepNext/>
        <w:spacing w:after="20"/>
        <w:ind w:left="510"/>
      </w:pPr>
      <w:r>
        <w:rPr>
          <w:b w:val="0"/>
          <w:i w:val="0"/>
        </w:rPr>
        <w:t>b) El nombre del caso de uso</w:t>
      </w:r>
    </w:p>
    <w:p>
      <w:pPr>
        <w:keepNext/>
        <w:spacing w:after="20"/>
        <w:ind w:left="510"/>
      </w:pPr>
      <w:r>
        <w:rPr>
          <w:b w:val="0"/>
          <w:i w:val="0"/>
        </w:rPr>
        <w:t>c) El requisito no funcional</w:t>
      </w:r>
    </w:p>
    <w:p>
      <w:pPr>
        <w:spacing w:after="20"/>
        <w:ind w:left="510"/>
      </w:pPr>
      <w:r>
        <w:rPr>
          <w:b w:val="0"/>
          <w:i w:val="0"/>
        </w:rPr>
        <w:t>d) Quién es el actor</w:t>
      </w:r>
    </w:p>
    <w:p>
      <w:pPr>
        <w:keepNext/>
        <w:jc w:val="both"/>
      </w:pPr>
      <w:r>
        <w:rPr>
          <w:b/>
          <w:i w:val="0"/>
        </w:rPr>
        <w:t>12.</w:t>
      </w:r>
      <w:r>
        <w:rPr>
          <w:b w:val="0"/>
          <w:i w:val="0"/>
        </w:rPr>
        <w:t xml:space="preserve"> En una historia de usuario, los criterios de aceptación sirven para:</w:t>
      </w:r>
    </w:p>
    <w:p>
      <w:pPr>
        <w:keepNext/>
        <w:spacing w:after="20"/>
        <w:ind w:left="510"/>
      </w:pPr>
      <w:r>
        <w:rPr>
          <w:b w:val="0"/>
          <w:i w:val="0"/>
        </w:rPr>
        <w:t>a) Estimar el costo del hardware</w:t>
      </w:r>
    </w:p>
    <w:p>
      <w:pPr>
        <w:keepNext/>
        <w:spacing w:after="20"/>
        <w:ind w:left="510"/>
      </w:pPr>
      <w:r>
        <w:rPr>
          <w:b w:val="0"/>
          <w:i w:val="0"/>
        </w:rPr>
        <w:t>b) Dibujar el diagrama de clases</w:t>
      </w:r>
    </w:p>
    <w:p>
      <w:pPr>
        <w:keepNext/>
        <w:spacing w:after="20"/>
        <w:ind w:left="510"/>
      </w:pPr>
      <w:r>
        <w:rPr>
          <w:b w:val="0"/>
          <w:i w:val="0"/>
        </w:rPr>
        <w:t>c) Verificar cuándo la historia está correctamente implementada</w:t>
      </w:r>
    </w:p>
    <w:p>
      <w:pPr>
        <w:spacing w:after="20"/>
        <w:ind w:left="510"/>
      </w:pPr>
      <w:r>
        <w:rPr>
          <w:b w:val="0"/>
          <w:i w:val="0"/>
        </w:rPr>
        <w:t>d) Nombrar al actor</w:t>
      </w:r>
    </w:p>
    <w:p>
      <w:pPr>
        <w:jc w:val="both"/>
      </w:pPr>
      <w:r>
        <w:rPr>
          <w:b/>
          <w:i w:val="0"/>
        </w:rPr>
        <w:t>Criterio de aprobación:</w:t>
      </w:r>
      <w:r>
        <w:rPr>
          <w:b w:val="0"/>
          <w:i w:val="0"/>
        </w:rPr>
        <w:t xml:space="preserve"> responder correctamente como mínimo el 70 % de las preguntas.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4082"/>
        <w:gridCol w:w="2835"/>
        <w:gridCol w:w="2835"/>
      </w:tblGrid>
      <w:tr>
        <w:trPr>
          <w:tblHeader w:val="true"/>
        </w:trPr>
        <w:tc>
          <w:tcPr>
            <w:tcW w:type="dxa" w:w="4082"/>
            <w:shd w:val="clear" w:color="auto" w:fill="39A90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Juicio de evaluación</w:t>
            </w:r>
          </w:p>
        </w:tc>
        <w:tc>
          <w:tcPr>
            <w:tcW w:type="dxa" w:w="2835"/>
            <w:shd w:val="clear" w:color="auto" w:fill="39A90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Aprobado (A)  ☐</w:t>
            </w:r>
          </w:p>
        </w:tc>
        <w:tc>
          <w:tcPr>
            <w:tcW w:type="dxa" w:w="2835"/>
            <w:shd w:val="clear" w:color="auto" w:fill="39A90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No aprobado (D)  ☐</w:t>
            </w:r>
          </w:p>
        </w:tc>
      </w:tr>
    </w:tbl>
    <w:p>
      <w:pPr>
        <w:spacing w:after="40"/>
      </w:pPr>
    </w:p>
    <w:p>
      <w:pPr>
        <w:jc w:val="both"/>
      </w:pPr>
      <w:r>
        <w:rPr>
          <w:b/>
          <w:i w:val="0"/>
        </w:rPr>
        <w:t>Retroalimentación / plan de mejoramiento: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4876"/>
        <w:gridCol w:w="4876"/>
      </w:tblGrid>
      <w:tr>
        <w:trPr>
          <w:tblHeader w:val="true"/>
        </w:trPr>
        <w:tc>
          <w:tcPr>
            <w:tcW w:type="dxa" w:w="4876"/>
            <w:shd w:val="clear" w:color="auto" w:fill="5A6B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Firma del instructor</w:t>
            </w:r>
          </w:p>
        </w:tc>
        <w:tc>
          <w:tcPr>
            <w:tcW w:type="dxa" w:w="4876"/>
            <w:shd w:val="clear" w:color="auto" w:fill="5A6B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Firma del aprendiz</w:t>
            </w:r>
          </w:p>
        </w:tc>
      </w:tr>
      <w:tr>
        <w:tc>
          <w:tcPr>
            <w:tcW w:type="dxa" w:w="4876"/>
            <w:vAlign w:val="center"/>
          </w:tcPr>
          <w:p>
            <w:pPr>
              <w:spacing w:after="20"/>
            </w:pPr>
            <w:r/>
          </w:p>
          <w:p>
            <w:pPr>
              <w:spacing w:after="20"/>
            </w:pPr>
          </w:p>
          <w:p>
            <w:pPr>
              <w:spacing w:after="20"/>
            </w:pPr>
          </w:p>
        </w:tc>
        <w:tc>
          <w:tcPr>
            <w:tcW w:type="dxa" w:w="4876"/>
            <w:vAlign w:val="center"/>
          </w:tcPr>
          <w:p>
            <w:pPr>
              <w:spacing w:after="20"/>
            </w:pPr>
            <w:r/>
          </w:p>
          <w:p>
            <w:pPr>
              <w:spacing w:after="20"/>
            </w:pPr>
          </w:p>
          <w:p>
            <w:pPr>
              <w:spacing w:after="20"/>
            </w:pP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Clave de respuestas – uso exclusivo del instructor</w:t>
      </w:r>
    </w:p>
    <w:p>
      <w:pPr>
        <w:pStyle w:val="Heading2"/>
      </w:pPr>
      <w:r>
        <w:t>Instrumento 3. Cuestionario de refuerzo: conceptos de UML y análisis orientado a objetos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1134"/>
        <w:gridCol w:w="1360"/>
        <w:gridCol w:w="7257"/>
      </w:tblGrid>
      <w:tr>
        <w:trPr>
          <w:tblHeader w:val="true"/>
        </w:trPr>
        <w:tc>
          <w:tcPr>
            <w:tcW w:type="dxa" w:w="1134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Pregunta</w:t>
            </w:r>
          </w:p>
        </w:tc>
        <w:tc>
          <w:tcPr>
            <w:tcW w:type="dxa" w:w="1361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Respuesta</w:t>
            </w:r>
          </w:p>
        </w:tc>
        <w:tc>
          <w:tcPr>
            <w:tcW w:type="dxa" w:w="7257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Justificación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1361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7257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«include» representa comportamiento obligatorio reutilizado.</w:t>
            </w:r>
          </w:p>
        </w:tc>
      </w:tr>
      <w:tr>
        <w:tc>
          <w:tcPr>
            <w:tcW w:type="dxa" w:w="113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2</w:t>
            </w:r>
          </w:p>
        </w:tc>
        <w:tc>
          <w:tcPr>
            <w:tcW w:type="dxa" w:w="1361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7257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«extend» agrega comportamiento condicional.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3</w:t>
            </w:r>
          </w:p>
        </w:tc>
        <w:tc>
          <w:tcPr>
            <w:tcW w:type="dxa" w:w="1361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7257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Los casos de uso se nombran con verbo en infinitivo + objeto.</w:t>
            </w:r>
          </w:p>
        </w:tc>
      </w:tr>
      <w:tr>
        <w:tc>
          <w:tcPr>
            <w:tcW w:type="dxa" w:w="113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4</w:t>
            </w:r>
          </w:p>
        </w:tc>
        <w:tc>
          <w:tcPr>
            <w:tcW w:type="dxa" w:w="1361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7257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El asterisco indica «muchos».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5</w:t>
            </w:r>
          </w:p>
        </w:tc>
        <w:tc>
          <w:tcPr>
            <w:tcW w:type="dxa" w:w="1361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7257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La composición implica que la parte no existe sin el todo.</w:t>
            </w:r>
          </w:p>
        </w:tc>
      </w:tr>
      <w:tr>
        <w:tc>
          <w:tcPr>
            <w:tcW w:type="dxa" w:w="113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6</w:t>
            </w:r>
          </w:p>
        </w:tc>
        <w:tc>
          <w:tcPr>
            <w:tcW w:type="dxa" w:w="1361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7257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Nodo de decisión/fusión.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7</w:t>
            </w:r>
          </w:p>
        </w:tc>
        <w:tc>
          <w:tcPr>
            <w:tcW w:type="dxa" w:w="1361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7257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Separan responsabilidades.</w:t>
            </w:r>
          </w:p>
        </w:tc>
      </w:tr>
      <w:tr>
        <w:tc>
          <w:tcPr>
            <w:tcW w:type="dxa" w:w="113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8</w:t>
            </w:r>
          </w:p>
        </w:tc>
        <w:tc>
          <w:tcPr>
            <w:tcW w:type="dxa" w:w="1361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7257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Es un modelo conceptual del negocio.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9</w:t>
            </w:r>
          </w:p>
        </w:tc>
        <w:tc>
          <w:tcPr>
            <w:tcW w:type="dxa" w:w="1361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7257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Se crea una entidad asociativa.</w:t>
            </w:r>
          </w:p>
        </w:tc>
      </w:tr>
      <w:tr>
        <w:tc>
          <w:tcPr>
            <w:tcW w:type="dxa" w:w="113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10</w:t>
            </w:r>
          </w:p>
        </w:tc>
        <w:tc>
          <w:tcPr>
            <w:tcW w:type="dxa" w:w="1361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7257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Computer-Aided Software Engineering.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11</w:t>
            </w:r>
          </w:p>
        </w:tc>
        <w:tc>
          <w:tcPr>
            <w:tcW w:type="dxa" w:w="1361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7257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Definición de postcondición.</w:t>
            </w:r>
          </w:p>
        </w:tc>
      </w:tr>
      <w:tr>
        <w:tc>
          <w:tcPr>
            <w:tcW w:type="dxa" w:w="113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12</w:t>
            </w:r>
          </w:p>
        </w:tc>
        <w:tc>
          <w:tcPr>
            <w:tcW w:type="dxa" w:w="1361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7257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Definen condiciones verificables de cumplimiento.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B78"/>
        <w:sz w:val="16"/>
      </w:rPr>
      <w:t xml:space="preserve">Guía de aprendizaje GFPI-F-135 – Actividad 2 – ADSO 228118   |   Página </w:t>
    </w:r>
    <w:r>
      <w:rPr>
        <w:color w:val="5A6B78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876"/>
      <w:gridCol w:w="4876"/>
    </w:tblGrid>
    <w:tr>
      <w:tc>
        <w:tcPr>
          <w:tcW w:type="dxa" w:w="1134"/>
        </w:tcPr>
        <w:p>
          <w:r>
            <w:drawing>
              <wp:inline xmlns:a="http://schemas.openxmlformats.org/drawingml/2006/main" xmlns:pic="http://schemas.openxmlformats.org/drawingml/2006/picture">
                <wp:extent cx="503999" cy="47703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green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3999" cy="47703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617"/>
          <w:vAlign w:val="center"/>
        </w:tcPr>
        <w:p>
          <w:r>
            <w:rPr>
              <w:b/>
              <w:color w:val="00304D"/>
              <w:sz w:val="18"/>
            </w:rPr>
            <w:t>SERVICIO NACIONAL DE APRENDIZAJE – SENA</w:t>
            <w:br/>
          </w:r>
          <w:r>
            <w:rPr>
              <w:b/>
              <w:color w:val="39A900"/>
              <w:sz w:val="22"/>
            </w:rPr>
            <w:t>INSTRUMENTOS DE EVALUACIÓN</w:t>
            <w:br/>
          </w:r>
          <w:r>
            <w:rPr>
              <w:color w:val="5A6B78"/>
              <w:sz w:val="16"/>
            </w:rPr>
            <w:t>ADSO 228118 · Competencia 220501093 · Sesión 04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="Calibri" w:hAnsi="Calibri"/>
      <w:b/>
      <w:bCs/>
      <w:color w:val="0030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="Calibri" w:hAnsi="Calibri"/>
      <w:b/>
      <w:bCs/>
      <w:color w:val="00304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="Calibri" w:hAnsi="Calibri"/>
      <w:b/>
      <w:bCs/>
      <w:color w:val="39A9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