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04D"/>
          <w:sz w:val="32"/>
        </w:rPr>
        <w:t>Sesión 02: Modelos matemáticos de las variables del proceso</w:t>
      </w:r>
    </w:p>
    <w:p>
      <w:pPr>
        <w:jc w:val="center"/>
      </w:pPr>
      <w:r>
        <w:rPr>
          <w:b/>
          <w:color w:val="39A900"/>
          <w:sz w:val="22"/>
        </w:rPr>
        <w:t>3.3 Apropiación (5 h) y 3.4 Transferencia (6 h) – Sub actividad 1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2608"/>
        <w:gridCol w:w="7144"/>
      </w:tblGrid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Programa de formación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Tecnólogo en Análisis y Desarrollo de Software – Código 228118 Versión 1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Proyecto formativo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Desarrollo de soluciones de software multiplataforma para la optimización y trazabilidad de procesos (3325977)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Fase / actividad de proyecto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Fase 1: Análisis – Caracterizar las necesidades y requerimientos de la solución de software.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Actividad de aprendizaje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Actividad 2: Establecer los requisitos de una solución de software mediante la recolección, organización e interpretación de información del contexto, aplicando técnicas de análisis de requisitos, estándares técnicos y herramientas de razonamiento cuantitativo.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Competencia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240201528 – Razonar cuantitativamente frente a situaciones susceptibles de ser abordadas de manera matemática en contextos laborales, sociales y personales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Resultado(s) de aprendizaje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01 Identificar modelos matemáticos de acuerdo con los requerimientos del problema planteado en contextos sociales y productivo.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Momento de la guía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3.3 Apropiación (5 h) y 3.4 Transferencia (6 h) – Sub actividad 1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Sesión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02 – Modelos matemáticos de las variables del proceso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Duración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11 horas (5 h de apropiación + 6 h de transferencia)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Instructor responsable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Instructor de matemáticas (Licenciado en matemáticas o ingeniero afín)</w:t>
            </w:r>
          </w:p>
        </w:tc>
      </w:tr>
    </w:tbl>
    <w:p>
      <w:pPr>
        <w:spacing w:after="40"/>
      </w:pPr>
    </w:p>
    <w:p>
      <w:pPr>
        <w:pStyle w:val="Heading1"/>
      </w:pPr>
      <w:r>
        <w:t>1. Propósito de la sesión</w:t>
      </w:r>
    </w:p>
    <w:p>
      <w:pPr>
        <w:jc w:val="both"/>
      </w:pPr>
      <w:r>
        <w:rPr>
          <w:b w:val="0"/>
          <w:i w:val="0"/>
        </w:rPr>
        <w:t>Identificar los modelos matemáticos (representaciones de los números reales, proporcionalidad directa e inversa, porcentajes, ecuaciones y funciones lineales) que relacionan las variables del proceso objeto de intervención, y aplicarlos para construir el cuadro de variables del proyecto y estimar los tiempos del plan de análisis.</w:t>
      </w:r>
    </w:p>
    <w:p>
      <w:pPr>
        <w:pStyle w:val="Heading1"/>
      </w:pPr>
      <w:r>
        <w:t>2. Secuencia didáctica de la sesión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1814"/>
        <w:gridCol w:w="1020"/>
        <w:gridCol w:w="5103"/>
        <w:gridCol w:w="1814"/>
      </w:tblGrid>
      <w:tr>
        <w:trPr>
          <w:tblHeader w:val="true"/>
        </w:trPr>
        <w:tc>
          <w:tcPr>
            <w:tcW w:type="dxa" w:w="1814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1020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5102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Actividad</w:t>
            </w:r>
          </w:p>
        </w:tc>
        <w:tc>
          <w:tcPr>
            <w:tcW w:type="dxa" w:w="1814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Responsable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Apropiación</w:t>
            </w:r>
          </w:p>
        </w:tc>
        <w:tc>
          <w:tcPr>
            <w:tcW w:type="dxa" w:w="1020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2 h</w:t>
            </w:r>
          </w:p>
        </w:tc>
        <w:tc>
          <w:tcPr>
            <w:tcW w:type="dxa" w:w="5102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Orientación magistral activa: números reales, operaciones, proporcionalidad, regla de tres, ecuaciones y funciones lineales (con GeoGebra y hoja de cálculo).</w:t>
            </w:r>
          </w:p>
        </w:tc>
        <w:tc>
          <w:tcPr>
            <w:tcW w:type="dxa" w:w="181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Instructor de matemáticas</w:t>
            </w:r>
          </w:p>
        </w:tc>
      </w:tr>
      <w:tr>
        <w:tc>
          <w:tcPr>
            <w:tcW w:type="dxa" w:w="181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Apropiación</w:t>
            </w:r>
          </w:p>
        </w:tc>
        <w:tc>
          <w:tcPr>
            <w:tcW w:type="dxa" w:w="1020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3 h</w:t>
            </w:r>
          </w:p>
        </w:tc>
        <w:tc>
          <w:tcPr>
            <w:tcW w:type="dxa" w:w="5102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Taller «Las cantidades del proceso» (parejas) y socialización.</w:t>
            </w:r>
          </w:p>
        </w:tc>
        <w:tc>
          <w:tcPr>
            <w:tcW w:type="dxa" w:w="181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Aprendices / instructor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Transferencia</w:t>
            </w:r>
          </w:p>
        </w:tc>
        <w:tc>
          <w:tcPr>
            <w:tcW w:type="dxa" w:w="1020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5 h</w:t>
            </w:r>
          </w:p>
        </w:tc>
        <w:tc>
          <w:tcPr>
            <w:tcW w:type="dxa" w:w="5102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Cuadro de variables y modelos del proyecto, cuadro resumen y estimación de tiempos.</w:t>
            </w:r>
          </w:p>
        </w:tc>
        <w:tc>
          <w:tcPr>
            <w:tcW w:type="dxa" w:w="181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Equipos de proyecto</w:t>
            </w:r>
          </w:p>
        </w:tc>
      </w:tr>
      <w:tr>
        <w:tc>
          <w:tcPr>
            <w:tcW w:type="dxa" w:w="181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Transferencia</w:t>
            </w:r>
          </w:p>
        </w:tc>
        <w:tc>
          <w:tcPr>
            <w:tcW w:type="dxa" w:w="1020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1 h</w:t>
            </w:r>
          </w:p>
        </w:tc>
        <w:tc>
          <w:tcPr>
            <w:tcW w:type="dxa" w:w="5102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Socialización y retroalimentación.</w:t>
            </w:r>
          </w:p>
        </w:tc>
        <w:tc>
          <w:tcPr>
            <w:tcW w:type="dxa" w:w="181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Instructor de matemáticas</w:t>
            </w:r>
          </w:p>
        </w:tc>
      </w:tr>
    </w:tbl>
    <w:p>
      <w:pPr>
        <w:spacing w:after="40"/>
      </w:pPr>
    </w:p>
    <w:p>
      <w:pPr>
        <w:pStyle w:val="Heading1"/>
      </w:pPr>
      <w:r>
        <w:t>3. Desarrollo de las actividades</w:t>
      </w:r>
    </w:p>
    <w:p>
      <w:pPr>
        <w:pStyle w:val="Heading2"/>
      </w:pPr>
      <w:r>
        <w:t>3.1 Taller «Las cantidades del proceso»</w:t>
      </w:r>
    </w:p>
    <w:p>
      <w:pPr>
        <w:jc w:val="both"/>
      </w:pPr>
      <w:r>
        <w:rPr>
          <w:b/>
          <w:i w:val="0"/>
        </w:rPr>
        <w:t>Duración: 3 horas · Modalidad: parejas · Estrategia: taller práctico guiado</w:t>
      </w:r>
    </w:p>
    <w:p>
      <w:pPr>
        <w:jc w:val="both"/>
      </w:pPr>
      <w:r>
        <w:rPr>
          <w:b w:val="0"/>
          <w:i w:val="0"/>
        </w:rPr>
        <w:t>Caso: bodega de la tienda de insumos agropecuarios «Agrosur». Resuelvan cada ejercicio mostrando el procedimiento y verifiquen el resultado en una hoja de cálculo.</w:t>
      </w:r>
    </w:p>
    <w:p>
      <w:pPr>
        <w:spacing w:after="60"/>
        <w:ind w:left="425" w:hanging="340"/>
        <w:jc w:val="both"/>
      </w:pPr>
      <w:r>
        <w:rPr>
          <w:b/>
          <w:color w:val="39A900"/>
        </w:rPr>
        <w:t xml:space="preserve">1.  </w:t>
      </w:r>
      <w:r>
        <w:rPr>
          <w:b w:val="0"/>
          <w:i w:val="0"/>
        </w:rPr>
        <w:t>En la bodega, 3/8 del inventario son fertilizantes. Exprese esa parte como número decimal y como porcentaje.</w:t>
      </w:r>
    </w:p>
    <w:p>
      <w:pPr>
        <w:spacing w:after="60"/>
        <w:ind w:left="425" w:hanging="340"/>
        <w:jc w:val="both"/>
      </w:pPr>
      <w:r>
        <w:rPr>
          <w:b/>
          <w:color w:val="39A900"/>
        </w:rPr>
        <w:t xml:space="preserve">2.  </w:t>
      </w:r>
      <w:r>
        <w:rPr>
          <w:b w:val="0"/>
          <w:i w:val="0"/>
        </w:rPr>
        <w:t>Calcule, respetando el orden de las operaciones: 2 + 3 × (12 − 4)² ÷ 6.</w:t>
      </w:r>
    </w:p>
    <w:p>
      <w:pPr>
        <w:spacing w:after="60"/>
        <w:ind w:left="425" w:hanging="340"/>
        <w:jc w:val="both"/>
      </w:pPr>
      <w:r>
        <w:rPr>
          <w:b/>
          <w:color w:val="39A900"/>
        </w:rPr>
        <w:t xml:space="preserve">3.  </w:t>
      </w:r>
      <w:r>
        <w:rPr>
          <w:b w:val="0"/>
          <w:i w:val="0"/>
        </w:rPr>
        <w:t>Si 4 bultos de concentrado cuestan $340.000, ¿cuánto cuestan 15 bultos? ¿Qué tipo de proporcionalidad es?</w:t>
      </w:r>
    </w:p>
    <w:p>
      <w:pPr>
        <w:spacing w:after="60"/>
        <w:ind w:left="425" w:hanging="340"/>
        <w:jc w:val="both"/>
      </w:pPr>
      <w:r>
        <w:rPr>
          <w:b/>
          <w:color w:val="39A900"/>
        </w:rPr>
        <w:t xml:space="preserve">4.  </w:t>
      </w:r>
      <w:r>
        <w:rPr>
          <w:b w:val="0"/>
          <w:i w:val="0"/>
        </w:rPr>
        <w:t>Tres personas hacen el inventario general en 12 horas. ¿Cuánto tardarán 4 personas al mismo ritmo? ¿Qué tipo de proporcionalidad es?</w:t>
      </w:r>
    </w:p>
    <w:p>
      <w:pPr>
        <w:spacing w:after="60"/>
        <w:ind w:left="425" w:hanging="340"/>
        <w:jc w:val="both"/>
      </w:pPr>
      <w:r>
        <w:rPr>
          <w:b/>
          <w:color w:val="39A900"/>
        </w:rPr>
        <w:t xml:space="preserve">5.  </w:t>
      </w:r>
      <w:r>
        <w:rPr>
          <w:b w:val="0"/>
          <w:i w:val="0"/>
        </w:rPr>
        <w:t>Un bulto cuesta $85.000 antes de IVA. Calcule el precio con IVA del 19 % y luego el precio aplicando un descuento del 5 % sobre el precio con IVA.</w:t>
      </w:r>
    </w:p>
    <w:p>
      <w:pPr>
        <w:spacing w:after="60"/>
        <w:ind w:left="425" w:hanging="340"/>
        <w:jc w:val="both"/>
      </w:pPr>
      <w:r>
        <w:rPr>
          <w:b/>
          <w:color w:val="39A900"/>
        </w:rPr>
        <w:t xml:space="preserve">6.  </w:t>
      </w:r>
      <w:r>
        <w:rPr>
          <w:b w:val="0"/>
          <w:i w:val="0"/>
        </w:rPr>
        <w:t>Las existencias se modelan con E = Ei + entradas − salidas. Si al inicio del mes había 120 bultos, entraron 45 y al final quedaron 98, ¿cuántos bultos salieron?</w:t>
      </w:r>
    </w:p>
    <w:p>
      <w:pPr>
        <w:spacing w:after="60"/>
        <w:ind w:left="425" w:hanging="340"/>
        <w:jc w:val="both"/>
      </w:pPr>
      <w:r>
        <w:rPr>
          <w:b/>
          <w:color w:val="39A900"/>
        </w:rPr>
        <w:t xml:space="preserve">7.  </w:t>
      </w:r>
      <w:r>
        <w:rPr>
          <w:b w:val="0"/>
          <w:i w:val="0"/>
        </w:rPr>
        <w:t>El costo de un pedido es C(q) = 85.000q + 25.000, donde q es el número de bultos y $25.000 es el flete. Calcule C(10) y diga cuántos bultos se pueden pedir con $1.300.000.</w:t>
      </w:r>
    </w:p>
    <w:p>
      <w:pPr>
        <w:spacing w:after="60"/>
        <w:ind w:left="425" w:hanging="340"/>
        <w:jc w:val="both"/>
      </w:pPr>
      <w:r>
        <w:rPr>
          <w:b/>
          <w:color w:val="39A900"/>
        </w:rPr>
        <w:t xml:space="preserve">8.  </w:t>
      </w:r>
      <w:r>
        <w:rPr>
          <w:b w:val="0"/>
          <w:i w:val="0"/>
        </w:rPr>
        <w:t>En el modelo anterior, ¿qué significan la pendiente (85.000) y el término independiente (25.000)?</w:t>
      </w:r>
    </w:p>
    <w:p>
      <w:pPr>
        <w:spacing w:after="60"/>
        <w:ind w:left="425" w:hanging="340"/>
        <w:jc w:val="both"/>
      </w:pPr>
      <w:r>
        <w:rPr>
          <w:b/>
          <w:color w:val="39A900"/>
        </w:rPr>
        <w:t xml:space="preserve">9.  </w:t>
      </w:r>
      <w:r>
        <w:rPr>
          <w:b w:val="0"/>
          <w:i w:val="0"/>
        </w:rPr>
        <w:t>Un analista modeló 6 casos de uso en 9 horas. ¿Cuánto tardará en modelar 14 casos de uso? Si el trabajo se reparte entre 2 analistas, ¿cuánto tarda cada uno?</w:t>
      </w:r>
    </w:p>
    <w:p>
      <w:pPr>
        <w:spacing w:after="60"/>
        <w:ind w:left="425" w:hanging="340"/>
        <w:jc w:val="both"/>
      </w:pPr>
      <w:r>
        <w:rPr>
          <w:b/>
          <w:color w:val="39A900"/>
        </w:rPr>
        <w:t xml:space="preserve">10.  </w:t>
      </w:r>
      <w:r>
        <w:rPr>
          <w:b w:val="0"/>
          <w:i w:val="0"/>
        </w:rPr>
        <w:t>De 72 ventas del día, 18 fueron a crédito. Exprese la relación como razón simplificada y como porcentaje.</w:t>
      </w:r>
    </w:p>
    <w:p>
      <w:pPr>
        <w:pStyle w:val="Heading2"/>
      </w:pPr>
      <w:r>
        <w:t>3.2 Transferencia: cuadro de variables y modelos del proyecto</w:t>
      </w:r>
    </w:p>
    <w:p>
      <w:pPr>
        <w:jc w:val="both"/>
      </w:pPr>
      <w:r>
        <w:rPr>
          <w:b/>
          <w:i w:val="0"/>
        </w:rPr>
        <w:t>Duración: 5 horas · Modalidad: equipo de proyecto · Estrategia: ABP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1701"/>
        <w:gridCol w:w="1701"/>
        <w:gridCol w:w="1134"/>
        <w:gridCol w:w="1587"/>
        <w:gridCol w:w="1360"/>
        <w:gridCol w:w="2268"/>
      </w:tblGrid>
      <w:tr>
        <w:trPr>
          <w:tblHeader w:val="true"/>
        </w:trPr>
        <w:tc>
          <w:tcPr>
            <w:tcW w:type="dxa" w:w="1701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Variable</w:t>
            </w:r>
          </w:p>
        </w:tc>
        <w:tc>
          <w:tcPr>
            <w:tcW w:type="dxa" w:w="1701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Tipo (discreta / continua / cualitativa)</w:t>
            </w:r>
          </w:p>
        </w:tc>
        <w:tc>
          <w:tcPr>
            <w:tcW w:type="dxa" w:w="1134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1587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Fuente del dato</w:t>
            </w:r>
          </w:p>
        </w:tc>
        <w:tc>
          <w:tcPr>
            <w:tcW w:type="dxa" w:w="1361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Rango esperado</w:t>
            </w:r>
          </w:p>
        </w:tc>
        <w:tc>
          <w:tcPr>
            <w:tcW w:type="dxa" w:w="2268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Modelo que la relaciona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1701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1134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158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1361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2268"/>
            <w:vAlign w:val="center"/>
          </w:tcPr>
          <w:p>
            <w:pPr>
              <w:spacing w:after="20"/>
            </w:pPr>
            <w:r/>
          </w:p>
        </w:tc>
      </w:tr>
      <w:tr>
        <w:tc>
          <w:tcPr>
            <w:tcW w:type="dxa" w:w="1701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1701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1134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158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1361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2268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</w:tr>
      <w:tr>
        <w:tc>
          <w:tcPr>
            <w:tcW w:type="dxa" w:w="1701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1701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1134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158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1361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2268"/>
            <w:vAlign w:val="center"/>
          </w:tcPr>
          <w:p>
            <w:pPr>
              <w:spacing w:after="20"/>
            </w:pPr>
            <w:r/>
          </w:p>
        </w:tc>
      </w:tr>
      <w:tr>
        <w:tc>
          <w:tcPr>
            <w:tcW w:type="dxa" w:w="1701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1701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1134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158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1361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2268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</w:tr>
      <w:tr>
        <w:tc>
          <w:tcPr>
            <w:tcW w:type="dxa" w:w="1701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1701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1134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158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1361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2268"/>
            <w:vAlign w:val="center"/>
          </w:tcPr>
          <w:p>
            <w:pPr>
              <w:spacing w:after="20"/>
            </w:pPr>
            <w:r/>
          </w:p>
        </w:tc>
      </w:tr>
      <w:tr>
        <w:tc>
          <w:tcPr>
            <w:tcW w:type="dxa" w:w="1701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1701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1134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158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1361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2268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</w:tr>
      <w:tr>
        <w:tc>
          <w:tcPr>
            <w:tcW w:type="dxa" w:w="1701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1701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1134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158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1361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2268"/>
            <w:vAlign w:val="center"/>
          </w:tcPr>
          <w:p>
            <w:pPr>
              <w:spacing w:after="20"/>
            </w:pPr>
            <w:r/>
          </w:p>
        </w:tc>
      </w:tr>
      <w:tr>
        <w:tc>
          <w:tcPr>
            <w:tcW w:type="dxa" w:w="1701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1701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1134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158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1361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2268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p>
      <w:pPr>
        <w:pStyle w:val="Heading3"/>
      </w:pPr>
      <w:r>
        <w:t>Cuadro resumen de principios matemáticos aplicados al proceso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2041"/>
        <w:gridCol w:w="2494"/>
        <w:gridCol w:w="2608"/>
        <w:gridCol w:w="2608"/>
      </w:tblGrid>
      <w:tr>
        <w:trPr>
          <w:tblHeader w:val="true"/>
        </w:trPr>
        <w:tc>
          <w:tcPr>
            <w:tcW w:type="dxa" w:w="2041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Principio</w:t>
            </w:r>
          </w:p>
        </w:tc>
        <w:tc>
          <w:tcPr>
            <w:tcW w:type="dxa" w:w="2494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Definición con sus palabras</w:t>
            </w:r>
          </w:p>
        </w:tc>
        <w:tc>
          <w:tcPr>
            <w:tcW w:type="dxa" w:w="2608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Aplicación en nuestro proceso</w:t>
            </w:r>
          </w:p>
        </w:tc>
        <w:tc>
          <w:tcPr>
            <w:tcW w:type="dxa" w:w="2608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Ejemplo numérico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Representaciones de los reales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2608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2608"/>
            <w:vAlign w:val="center"/>
          </w:tcPr>
          <w:p>
            <w:pPr>
              <w:spacing w:after="20"/>
            </w:pPr>
            <w:r/>
          </w:p>
        </w:tc>
      </w:tr>
      <w:tr>
        <w:tc>
          <w:tcPr>
            <w:tcW w:type="dxa" w:w="2041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Proporcionalidad directa</w:t>
            </w:r>
          </w:p>
        </w:tc>
        <w:tc>
          <w:tcPr>
            <w:tcW w:type="dxa" w:w="2494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2608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2608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</w:tr>
      <w:tr>
        <w:tc>
          <w:tcPr>
            <w:tcW w:type="dxa" w:w="2041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Proporcionalidad inversa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2608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2608"/>
            <w:vAlign w:val="center"/>
          </w:tcPr>
          <w:p>
            <w:pPr>
              <w:spacing w:after="20"/>
            </w:pPr>
            <w:r/>
          </w:p>
        </w:tc>
      </w:tr>
      <w:tr>
        <w:tc>
          <w:tcPr>
            <w:tcW w:type="dxa" w:w="2041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Porcentajes</w:t>
            </w:r>
          </w:p>
        </w:tc>
        <w:tc>
          <w:tcPr>
            <w:tcW w:type="dxa" w:w="2494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2608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2608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</w:tr>
      <w:tr>
        <w:tc>
          <w:tcPr>
            <w:tcW w:type="dxa" w:w="2041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Ecuación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2608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2608"/>
            <w:vAlign w:val="center"/>
          </w:tcPr>
          <w:p>
            <w:pPr>
              <w:spacing w:after="20"/>
            </w:pPr>
            <w:r/>
          </w:p>
        </w:tc>
      </w:tr>
      <w:tr>
        <w:tc>
          <w:tcPr>
            <w:tcW w:type="dxa" w:w="2041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Función lineal</w:t>
            </w:r>
          </w:p>
        </w:tc>
        <w:tc>
          <w:tcPr>
            <w:tcW w:type="dxa" w:w="2494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2608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2608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p>
      <w:pPr>
        <w:pStyle w:val="Heading3"/>
      </w:pPr>
      <w:r>
        <w:t>Estimación de tiempos del plan de análisis (regla de tres)</w:t>
      </w:r>
    </w:p>
    <w:p>
      <w:pPr>
        <w:jc w:val="both"/>
      </w:pPr>
      <w:r>
        <w:rPr>
          <w:b w:val="0"/>
          <w:i w:val="0"/>
        </w:rPr>
        <w:t>Tomen un dato de referencia (por ejemplo, el tiempo que tardaron en modelar un caso de uso en la sesión 04 técnica) y estimen, con proporcionalidad directa, la duración de las actividades del plan; luego, con proporcionalidad inversa, cuánto tarda cada actividad si se reparte entre varios integrantes. Registren los cálculos en el plan de trabajo (sesión 03 técnica).</w:t>
      </w:r>
    </w:p>
    <w:p>
      <w:pPr>
        <w:pStyle w:val="Heading1"/>
      </w:pPr>
      <w:r>
        <w:t>4. Entregables de la sesión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4536"/>
        <w:gridCol w:w="1927"/>
        <w:gridCol w:w="3288"/>
      </w:tblGrid>
      <w:tr>
        <w:trPr>
          <w:tblHeader w:val="true"/>
        </w:trPr>
        <w:tc>
          <w:tcPr>
            <w:tcW w:type="dxa" w:w="4535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Entregable</w:t>
            </w:r>
          </w:p>
        </w:tc>
        <w:tc>
          <w:tcPr>
            <w:tcW w:type="dxa" w:w="1928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Tipo de evidencia</w:t>
            </w:r>
          </w:p>
        </w:tc>
        <w:tc>
          <w:tcPr>
            <w:tcW w:type="dxa" w:w="3288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Forma de entrega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Taller «Las cantidades del proceso»</w:t>
            </w:r>
          </w:p>
        </w:tc>
        <w:tc>
          <w:tcPr>
            <w:tcW w:type="dxa" w:w="1928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Conocimiento (formativa)</w:t>
            </w:r>
          </w:p>
        </w:tc>
        <w:tc>
          <w:tcPr>
            <w:tcW w:type="dxa" w:w="3288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Por pareja</w:t>
            </w:r>
          </w:p>
        </w:tc>
      </w:tr>
      <w:tr>
        <w:tc>
          <w:tcPr>
            <w:tcW w:type="dxa" w:w="4535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Cuadro resumen de principios matemáticos</w:t>
            </w:r>
          </w:p>
        </w:tc>
        <w:tc>
          <w:tcPr>
            <w:tcW w:type="dxa" w:w="1928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Conocimiento</w:t>
            </w:r>
          </w:p>
        </w:tc>
        <w:tc>
          <w:tcPr>
            <w:tcW w:type="dxa" w:w="3288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Documento del equipo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Cuadro de variables y modelos del proceso</w:t>
            </w:r>
          </w:p>
        </w:tc>
        <w:tc>
          <w:tcPr>
            <w:tcW w:type="dxa" w:w="1928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Producto</w:t>
            </w:r>
          </w:p>
        </w:tc>
        <w:tc>
          <w:tcPr>
            <w:tcW w:type="dxa" w:w="3288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Documento del equipo</w:t>
            </w:r>
          </w:p>
        </w:tc>
      </w:tr>
      <w:tr>
        <w:tc>
          <w:tcPr>
            <w:tcW w:type="dxa" w:w="4535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Participación en la identificación de variables</w:t>
            </w:r>
          </w:p>
        </w:tc>
        <w:tc>
          <w:tcPr>
            <w:tcW w:type="dxa" w:w="1928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Desempeño</w:t>
            </w:r>
          </w:p>
        </w:tc>
        <w:tc>
          <w:tcPr>
            <w:tcW w:type="dxa" w:w="3288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Observación</w:t>
            </w:r>
          </w:p>
        </w:tc>
      </w:tr>
    </w:tbl>
    <w:p>
      <w:pPr>
        <w:spacing w:after="40"/>
      </w:pPr>
    </w:p>
    <w:p>
      <w:pPr>
        <w:pStyle w:val="Heading1"/>
      </w:pPr>
      <w:r>
        <w:t>5. Recursos y material de apoyo</w:t>
      </w:r>
    </w:p>
    <w:p>
      <w:pPr>
        <w:pStyle w:val="ListBullet"/>
        <w:spacing w:after="40"/>
        <w:jc w:val="both"/>
      </w:pPr>
      <w:r>
        <w:rPr>
          <w:b w:val="0"/>
          <w:i w:val="0"/>
        </w:rPr>
        <w:t>GeoGebra (https://www.geogebra.org).</w:t>
      </w:r>
    </w:p>
    <w:p>
      <w:pPr>
        <w:pStyle w:val="ListBullet"/>
        <w:spacing w:after="40"/>
        <w:jc w:val="both"/>
      </w:pPr>
      <w:r>
        <w:rPr>
          <w:b w:val="0"/>
          <w:i w:val="0"/>
        </w:rPr>
        <w:t>Hoja de cálculo (Excel, LibreOffice Calc o Google Sheets).</w:t>
      </w:r>
    </w:p>
    <w:p>
      <w:pPr>
        <w:pStyle w:val="ListBullet"/>
        <w:spacing w:after="40"/>
        <w:jc w:val="both"/>
      </w:pPr>
      <w:r>
        <w:rPr>
          <w:b w:val="0"/>
          <w:i w:val="0"/>
        </w:rPr>
        <w:t>Baldor, A. (2007). Álgebra.</w:t>
      </w:r>
    </w:p>
    <w:p>
      <w:pPr>
        <w:pStyle w:val="ListBullet"/>
        <w:spacing w:after="40"/>
        <w:jc w:val="both"/>
      </w:pPr>
      <w:r>
        <w:rPr>
          <w:b w:val="0"/>
          <w:i w:val="0"/>
        </w:rPr>
        <w:t>Stewart, J. et al. (2017). Precálculo (cap. 1 y 2).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B78"/>
        <w:sz w:val="16"/>
      </w:rPr>
      <w:t xml:space="preserve">Guía de aprendizaje GFPI-F-135 – Actividad 2 – ADSO 228118   |   Página </w:t>
    </w:r>
    <w:r>
      <w:rPr>
        <w:color w:val="5A6B78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876"/>
      <w:gridCol w:w="4876"/>
    </w:tblGrid>
    <w:tr>
      <w:tc>
        <w:tcPr>
          <w:tcW w:type="dxa" w:w="1134"/>
        </w:tcPr>
        <w:p>
          <w:r>
            <w:drawing>
              <wp:inline xmlns:a="http://schemas.openxmlformats.org/drawingml/2006/main" xmlns:pic="http://schemas.openxmlformats.org/drawingml/2006/picture">
                <wp:extent cx="503999" cy="47703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green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3999" cy="47703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617"/>
          <w:vAlign w:val="center"/>
        </w:tcPr>
        <w:p>
          <w:r>
            <w:rPr>
              <w:b/>
              <w:color w:val="00304D"/>
              <w:sz w:val="18"/>
            </w:rPr>
            <w:t>SERVICIO NACIONAL DE APRENDIZAJE – SENA</w:t>
            <w:br/>
          </w:r>
          <w:r>
            <w:rPr>
              <w:b/>
              <w:color w:val="39A900"/>
              <w:sz w:val="22"/>
            </w:rPr>
            <w:t>GUÍA DE ACTIVIDADES DE LA SESIÓN</w:t>
            <w:br/>
          </w:r>
          <w:r>
            <w:rPr>
              <w:color w:val="5A6B78"/>
              <w:sz w:val="16"/>
            </w:rPr>
            <w:t>ADSO 228118 · Competencia 240201528 · Sesión 02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="Calibri" w:hAnsi="Calibri"/>
      <w:b/>
      <w:bCs/>
      <w:color w:val="0030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="Calibri" w:hAnsi="Calibri"/>
      <w:b/>
      <w:bCs/>
      <w:color w:val="00304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="Calibri" w:hAnsi="Calibri"/>
      <w:b/>
      <w:bCs/>
      <w:color w:val="39A9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