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color w:val="00304D"/>
          <w:sz w:val="32"/>
        </w:rPr>
        <w:t>Sesión 03: Plantear problemas a partir de las reglas del negocio</w:t>
      </w:r>
    </w:p>
    <w:p>
      <w:pPr>
        <w:jc w:val="center"/>
      </w:pPr>
      <w:r>
        <w:rPr>
          <w:b/>
          <w:color w:val="39A900"/>
          <w:sz w:val="22"/>
        </w:rPr>
        <w:t>3.3 Apropiación (5 h) y 3.4 Transferencia (6 h) – Sub actividad 2</w:t>
      </w:r>
    </w:p>
    <w:tbl>
      <w:tblPr>
        <w:tblW w:type="dxa" w:w="9752"/>
        <w:jc w:val="center"/>
        <w:tblLayout w:type="fixed"/>
        <w:tblLook w:firstColumn="1" w:firstRow="1" w:lastColumn="0" w:lastRow="0" w:noHBand="0" w:noVBand="1" w:val="04A0"/>
        <w:tblBorders>
          <w:top w:val="single" w:sz="4" w:space="0" w:color="B7C4CE"/>
          <w:left w:val="single" w:sz="4" w:space="0" w:color="B7C4CE"/>
          <w:bottom w:val="single" w:sz="4" w:space="0" w:color="B7C4CE"/>
          <w:right w:val="single" w:sz="4" w:space="0" w:color="B7C4CE"/>
          <w:insideH w:val="single" w:sz="4" w:space="0" w:color="B7C4CE"/>
          <w:insideV w:val="single" w:sz="4" w:space="0" w:color="B7C4CE"/>
        </w:tblBorders>
        <w:tblLayout w:type="fixed"/>
      </w:tblPr>
      <w:tblGrid>
        <w:gridCol w:w="2608"/>
        <w:gridCol w:w="7144"/>
      </w:tblGrid>
      <w:tr>
        <w:tc>
          <w:tcPr>
            <w:tcW w:type="dxa" w:w="2608"/>
            <w:shd w:val="clear" w:color="auto" w:fill="EEF5EA"/>
            <w:vAlign w:val="center"/>
          </w:tcPr>
          <w:p>
            <w:pPr>
              <w:spacing w:after="20"/>
            </w:pPr>
            <w:r/>
            <w:r>
              <w:rPr>
                <w:b/>
                <w:color w:val="00304D"/>
                <w:sz w:val="20"/>
              </w:rPr>
              <w:t>Programa de formación</w:t>
            </w:r>
          </w:p>
        </w:tc>
        <w:tc>
          <w:tcPr>
            <w:tcW w:type="dxa" w:w="7143"/>
            <w:vAlign w:val="center"/>
          </w:tcPr>
          <w:p>
            <w:pPr>
              <w:spacing w:after="20"/>
            </w:pPr>
            <w:r/>
            <w:r>
              <w:rPr>
                <w:b w:val="0"/>
                <w:i w:val="0"/>
                <w:sz w:val="20"/>
              </w:rPr>
              <w:t>Tecnólogo en Análisis y Desarrollo de Software – Código 228118 Versión 1</w:t>
            </w:r>
          </w:p>
        </w:tc>
      </w:tr>
      <w:tr>
        <w:tc>
          <w:tcPr>
            <w:tcW w:type="dxa" w:w="2608"/>
            <w:shd w:val="clear" w:color="auto" w:fill="EEF5EA"/>
            <w:vAlign w:val="center"/>
          </w:tcPr>
          <w:p>
            <w:pPr>
              <w:spacing w:after="20"/>
            </w:pPr>
            <w:r/>
            <w:r>
              <w:rPr>
                <w:b/>
                <w:color w:val="00304D"/>
                <w:sz w:val="20"/>
              </w:rPr>
              <w:t>Proyecto formativo</w:t>
            </w:r>
          </w:p>
        </w:tc>
        <w:tc>
          <w:tcPr>
            <w:tcW w:type="dxa" w:w="7143"/>
            <w:vAlign w:val="center"/>
          </w:tcPr>
          <w:p>
            <w:pPr>
              <w:spacing w:after="20"/>
            </w:pPr>
            <w:r/>
            <w:r>
              <w:rPr>
                <w:b w:val="0"/>
                <w:i w:val="0"/>
                <w:sz w:val="20"/>
              </w:rPr>
              <w:t>Desarrollo de soluciones de software multiplataforma para la optimización y trazabilidad de procesos (3325977)</w:t>
            </w:r>
          </w:p>
        </w:tc>
      </w:tr>
      <w:tr>
        <w:tc>
          <w:tcPr>
            <w:tcW w:type="dxa" w:w="2608"/>
            <w:shd w:val="clear" w:color="auto" w:fill="EEF5EA"/>
            <w:vAlign w:val="center"/>
          </w:tcPr>
          <w:p>
            <w:pPr>
              <w:spacing w:after="20"/>
            </w:pPr>
            <w:r/>
            <w:r>
              <w:rPr>
                <w:b/>
                <w:color w:val="00304D"/>
                <w:sz w:val="20"/>
              </w:rPr>
              <w:t>Fase / actividad de proyecto</w:t>
            </w:r>
          </w:p>
        </w:tc>
        <w:tc>
          <w:tcPr>
            <w:tcW w:type="dxa" w:w="7143"/>
            <w:vAlign w:val="center"/>
          </w:tcPr>
          <w:p>
            <w:pPr>
              <w:spacing w:after="20"/>
            </w:pPr>
            <w:r/>
            <w:r>
              <w:rPr>
                <w:b w:val="0"/>
                <w:i w:val="0"/>
                <w:sz w:val="20"/>
              </w:rPr>
              <w:t>Fase 1: Análisis – Caracterizar las necesidades y requerimientos de la solución de software.</w:t>
            </w:r>
          </w:p>
        </w:tc>
      </w:tr>
      <w:tr>
        <w:tc>
          <w:tcPr>
            <w:tcW w:type="dxa" w:w="2608"/>
            <w:shd w:val="clear" w:color="auto" w:fill="EEF5EA"/>
            <w:vAlign w:val="center"/>
          </w:tcPr>
          <w:p>
            <w:pPr>
              <w:spacing w:after="20"/>
            </w:pPr>
            <w:r/>
            <w:r>
              <w:rPr>
                <w:b/>
                <w:color w:val="00304D"/>
                <w:sz w:val="20"/>
              </w:rPr>
              <w:t>Actividad de aprendizaje</w:t>
            </w:r>
          </w:p>
        </w:tc>
        <w:tc>
          <w:tcPr>
            <w:tcW w:type="dxa" w:w="7143"/>
            <w:vAlign w:val="center"/>
          </w:tcPr>
          <w:p>
            <w:pPr>
              <w:spacing w:after="20"/>
            </w:pPr>
            <w:r/>
            <w:r>
              <w:rPr>
                <w:b w:val="0"/>
                <w:i w:val="0"/>
                <w:sz w:val="20"/>
              </w:rPr>
              <w:t>Actividad 2: Establecer los requisitos de una solución de software mediante la recolección, organización e interpretación de información del contexto, aplicando técnicas de análisis de requisitos, estándares técnicos y herramientas de razonamiento cuantitativo.</w:t>
            </w:r>
          </w:p>
        </w:tc>
      </w:tr>
      <w:tr>
        <w:tc>
          <w:tcPr>
            <w:tcW w:type="dxa" w:w="2608"/>
            <w:shd w:val="clear" w:color="auto" w:fill="EEF5EA"/>
            <w:vAlign w:val="center"/>
          </w:tcPr>
          <w:p>
            <w:pPr>
              <w:spacing w:after="20"/>
            </w:pPr>
            <w:r/>
            <w:r>
              <w:rPr>
                <w:b/>
                <w:color w:val="00304D"/>
                <w:sz w:val="20"/>
              </w:rPr>
              <w:t>Competencia</w:t>
            </w:r>
          </w:p>
        </w:tc>
        <w:tc>
          <w:tcPr>
            <w:tcW w:type="dxa" w:w="7143"/>
            <w:vAlign w:val="center"/>
          </w:tcPr>
          <w:p>
            <w:pPr>
              <w:spacing w:after="20"/>
            </w:pPr>
            <w:r/>
            <w:r>
              <w:rPr>
                <w:b w:val="0"/>
                <w:i w:val="0"/>
                <w:sz w:val="20"/>
              </w:rPr>
              <w:t>240201528 – Razonar cuantitativamente frente a situaciones susceptibles de ser abordadas de manera matemática en contextos laborales, sociales y personales</w:t>
            </w:r>
          </w:p>
        </w:tc>
      </w:tr>
      <w:tr>
        <w:tc>
          <w:tcPr>
            <w:tcW w:type="dxa" w:w="2608"/>
            <w:shd w:val="clear" w:color="auto" w:fill="EEF5EA"/>
            <w:vAlign w:val="center"/>
          </w:tcPr>
          <w:p>
            <w:pPr>
              <w:spacing w:after="20"/>
            </w:pPr>
            <w:r/>
            <w:r>
              <w:rPr>
                <w:b/>
                <w:color w:val="00304D"/>
                <w:sz w:val="20"/>
              </w:rPr>
              <w:t>Resultado(s) de aprendizaje</w:t>
            </w:r>
          </w:p>
        </w:tc>
        <w:tc>
          <w:tcPr>
            <w:tcW w:type="dxa" w:w="7143"/>
            <w:vAlign w:val="center"/>
          </w:tcPr>
          <w:p>
            <w:pPr>
              <w:spacing w:after="20"/>
            </w:pPr>
            <w:r/>
            <w:r>
              <w:rPr>
                <w:b w:val="0"/>
                <w:i w:val="0"/>
                <w:sz w:val="20"/>
              </w:rPr>
              <w:t>02 Plantear problemas matemáticos a partir de situaciones generadas en el contexto social y productivo.</w:t>
            </w:r>
          </w:p>
        </w:tc>
      </w:tr>
      <w:tr>
        <w:tc>
          <w:tcPr>
            <w:tcW w:type="dxa" w:w="2608"/>
            <w:shd w:val="clear" w:color="auto" w:fill="EEF5EA"/>
            <w:vAlign w:val="center"/>
          </w:tcPr>
          <w:p>
            <w:pPr>
              <w:spacing w:after="20"/>
            </w:pPr>
            <w:r/>
            <w:r>
              <w:rPr>
                <w:b/>
                <w:color w:val="00304D"/>
                <w:sz w:val="20"/>
              </w:rPr>
              <w:t>Momento de la guía</w:t>
            </w:r>
          </w:p>
        </w:tc>
        <w:tc>
          <w:tcPr>
            <w:tcW w:type="dxa" w:w="7143"/>
            <w:vAlign w:val="center"/>
          </w:tcPr>
          <w:p>
            <w:pPr>
              <w:spacing w:after="20"/>
            </w:pPr>
            <w:r/>
            <w:r>
              <w:rPr>
                <w:b w:val="0"/>
                <w:i w:val="0"/>
                <w:sz w:val="20"/>
              </w:rPr>
              <w:t>3.3 Apropiación (5 h) y 3.4 Transferencia (6 h) – Sub actividad 2</w:t>
            </w:r>
          </w:p>
        </w:tc>
      </w:tr>
      <w:tr>
        <w:tc>
          <w:tcPr>
            <w:tcW w:type="dxa" w:w="2608"/>
            <w:shd w:val="clear" w:color="auto" w:fill="EEF5EA"/>
            <w:vAlign w:val="center"/>
          </w:tcPr>
          <w:p>
            <w:pPr>
              <w:spacing w:after="20"/>
            </w:pPr>
            <w:r/>
            <w:r>
              <w:rPr>
                <w:b/>
                <w:color w:val="00304D"/>
                <w:sz w:val="20"/>
              </w:rPr>
              <w:t>Sesión</w:t>
            </w:r>
          </w:p>
        </w:tc>
        <w:tc>
          <w:tcPr>
            <w:tcW w:type="dxa" w:w="7143"/>
            <w:vAlign w:val="center"/>
          </w:tcPr>
          <w:p>
            <w:pPr>
              <w:spacing w:after="20"/>
            </w:pPr>
            <w:r/>
            <w:r>
              <w:rPr>
                <w:b w:val="0"/>
                <w:i w:val="0"/>
                <w:sz w:val="20"/>
              </w:rPr>
              <w:t>03 – Plantear problemas a partir de las reglas del negocio</w:t>
            </w:r>
          </w:p>
        </w:tc>
      </w:tr>
      <w:tr>
        <w:tc>
          <w:tcPr>
            <w:tcW w:type="dxa" w:w="2608"/>
            <w:shd w:val="clear" w:color="auto" w:fill="EEF5EA"/>
            <w:vAlign w:val="center"/>
          </w:tcPr>
          <w:p>
            <w:pPr>
              <w:spacing w:after="20"/>
            </w:pPr>
            <w:r/>
            <w:r>
              <w:rPr>
                <w:b/>
                <w:color w:val="00304D"/>
                <w:sz w:val="20"/>
              </w:rPr>
              <w:t>Duración</w:t>
            </w:r>
          </w:p>
        </w:tc>
        <w:tc>
          <w:tcPr>
            <w:tcW w:type="dxa" w:w="7143"/>
            <w:vAlign w:val="center"/>
          </w:tcPr>
          <w:p>
            <w:pPr>
              <w:spacing w:after="20"/>
            </w:pPr>
            <w:r/>
            <w:r>
              <w:rPr>
                <w:b w:val="0"/>
                <w:i w:val="0"/>
                <w:sz w:val="20"/>
              </w:rPr>
              <w:t>11 horas (5 h de apropiación + 6 h de transferencia)</w:t>
            </w:r>
          </w:p>
        </w:tc>
      </w:tr>
      <w:tr>
        <w:tc>
          <w:tcPr>
            <w:tcW w:type="dxa" w:w="2608"/>
            <w:shd w:val="clear" w:color="auto" w:fill="EEF5EA"/>
            <w:vAlign w:val="center"/>
          </w:tcPr>
          <w:p>
            <w:pPr>
              <w:spacing w:after="20"/>
            </w:pPr>
            <w:r/>
            <w:r>
              <w:rPr>
                <w:b/>
                <w:color w:val="00304D"/>
                <w:sz w:val="20"/>
              </w:rPr>
              <w:t>Instructor responsable</w:t>
            </w:r>
          </w:p>
        </w:tc>
        <w:tc>
          <w:tcPr>
            <w:tcW w:type="dxa" w:w="7143"/>
            <w:vAlign w:val="center"/>
          </w:tcPr>
          <w:p>
            <w:pPr>
              <w:spacing w:after="20"/>
            </w:pPr>
            <w:r/>
            <w:r>
              <w:rPr>
                <w:b w:val="0"/>
                <w:i w:val="0"/>
                <w:sz w:val="20"/>
              </w:rPr>
              <w:t>Instructor de matemáticas (Licenciado en matemáticas o ingeniero afín)</w:t>
            </w:r>
          </w:p>
        </w:tc>
      </w:tr>
    </w:tbl>
    <w:p>
      <w:pPr>
        <w:spacing w:after="40"/>
      </w:pPr>
    </w:p>
    <w:p>
      <w:pPr>
        <w:pStyle w:val="Heading1"/>
      </w:pPr>
      <w:r>
        <w:t>1. Propósito de la sesión</w:t>
      </w:r>
    </w:p>
    <w:p>
      <w:pPr>
        <w:jc w:val="both"/>
      </w:pPr>
      <w:r>
        <w:rPr>
          <w:b w:val="0"/>
          <w:i w:val="0"/>
        </w:rPr>
        <w:t>Plantear problemas matemáticos a partir de situaciones del proceso objeto de intervención, traduciendo reglas de negocio y datos a ecuaciones, sistemas de ecuaciones y funciones, representándolas en el plano cartesiano, resolviendo situaciones geométricas y realizando conversiones de unidades de medida y de almacenamiento de información.</w:t>
      </w:r>
    </w:p>
    <w:p>
      <w:pPr>
        <w:pStyle w:val="Heading1"/>
      </w:pPr>
      <w:r>
        <w:t>2. Secuencia didáctica de la sesión</w:t>
      </w:r>
    </w:p>
    <w:tbl>
      <w:tblPr>
        <w:tblW w:type="dxa" w:w="9752"/>
        <w:jc w:val="center"/>
        <w:tblLayout w:type="fixed"/>
        <w:tblLook w:firstColumn="1" w:firstRow="1" w:lastColumn="0" w:lastRow="0" w:noHBand="0" w:noVBand="1" w:val="04A0"/>
        <w:tblBorders>
          <w:top w:val="single" w:sz="4" w:space="0" w:color="B7C4CE"/>
          <w:left w:val="single" w:sz="4" w:space="0" w:color="B7C4CE"/>
          <w:bottom w:val="single" w:sz="4" w:space="0" w:color="B7C4CE"/>
          <w:right w:val="single" w:sz="4" w:space="0" w:color="B7C4CE"/>
          <w:insideH w:val="single" w:sz="4" w:space="0" w:color="B7C4CE"/>
          <w:insideV w:val="single" w:sz="4" w:space="0" w:color="B7C4CE"/>
        </w:tblBorders>
        <w:tblLayout w:type="fixed"/>
      </w:tblPr>
      <w:tblGrid>
        <w:gridCol w:w="1814"/>
        <w:gridCol w:w="1020"/>
        <w:gridCol w:w="5103"/>
        <w:gridCol w:w="1814"/>
      </w:tblGrid>
      <w:tr>
        <w:trPr>
          <w:tblHeader w:val="true"/>
        </w:trPr>
        <w:tc>
          <w:tcPr>
            <w:tcW w:type="dxa" w:w="1814"/>
            <w:shd w:val="clear" w:color="auto" w:fill="00304D"/>
            <w:vAlign w:val="center"/>
          </w:tcPr>
          <w:p>
            <w:r/>
            <w:r>
              <w:rPr>
                <w:b/>
                <w:color w:val="FFFFFF"/>
                <w:sz w:val="19"/>
              </w:rPr>
              <w:t>Momento</w:t>
            </w:r>
          </w:p>
        </w:tc>
        <w:tc>
          <w:tcPr>
            <w:tcW w:type="dxa" w:w="1020"/>
            <w:shd w:val="clear" w:color="auto" w:fill="00304D"/>
            <w:vAlign w:val="center"/>
          </w:tcPr>
          <w:p>
            <w:r/>
            <w:r>
              <w:rPr>
                <w:b/>
                <w:color w:val="FFFFFF"/>
                <w:sz w:val="19"/>
              </w:rPr>
              <w:t>Tiempo</w:t>
            </w:r>
          </w:p>
        </w:tc>
        <w:tc>
          <w:tcPr>
            <w:tcW w:type="dxa" w:w="5102"/>
            <w:shd w:val="clear" w:color="auto" w:fill="00304D"/>
            <w:vAlign w:val="center"/>
          </w:tcPr>
          <w:p>
            <w:r/>
            <w:r>
              <w:rPr>
                <w:b/>
                <w:color w:val="FFFFFF"/>
                <w:sz w:val="19"/>
              </w:rPr>
              <w:t>Actividad</w:t>
            </w:r>
          </w:p>
        </w:tc>
        <w:tc>
          <w:tcPr>
            <w:tcW w:type="dxa" w:w="1814"/>
            <w:shd w:val="clear" w:color="auto" w:fill="00304D"/>
            <w:vAlign w:val="center"/>
          </w:tcPr>
          <w:p>
            <w:r/>
            <w:r>
              <w:rPr>
                <w:b/>
                <w:color w:val="FFFFFF"/>
                <w:sz w:val="19"/>
              </w:rPr>
              <w:t>Responsable</w:t>
            </w:r>
          </w:p>
        </w:tc>
      </w:tr>
      <w:tr>
        <w:tc>
          <w:tcPr>
            <w:tcW w:type="dxa" w:w="1814"/>
            <w:vAlign w:val="center"/>
          </w:tcPr>
          <w:p>
            <w:pPr>
              <w:spacing w:after="20"/>
            </w:pPr>
            <w:r/>
            <w:r>
              <w:rPr>
                <w:b w:val="0"/>
                <w:i w:val="0"/>
                <w:sz w:val="19"/>
              </w:rPr>
              <w:t>Apropiación</w:t>
            </w:r>
          </w:p>
        </w:tc>
        <w:tc>
          <w:tcPr>
            <w:tcW w:type="dxa" w:w="1020"/>
            <w:vAlign w:val="center"/>
          </w:tcPr>
          <w:p>
            <w:pPr>
              <w:spacing w:after="20"/>
            </w:pPr>
            <w:r/>
            <w:r>
              <w:rPr>
                <w:b w:val="0"/>
                <w:i w:val="0"/>
                <w:sz w:val="19"/>
              </w:rPr>
              <w:t>2 h</w:t>
            </w:r>
          </w:p>
        </w:tc>
        <w:tc>
          <w:tcPr>
            <w:tcW w:type="dxa" w:w="5102"/>
            <w:vAlign w:val="center"/>
          </w:tcPr>
          <w:p>
            <w:pPr>
              <w:spacing w:after="20"/>
            </w:pPr>
            <w:r/>
            <w:r>
              <w:rPr>
                <w:b w:val="0"/>
                <w:i w:val="0"/>
                <w:sz w:val="19"/>
              </w:rPr>
              <w:t>Orientación magistral activa: planteamiento de ecuaciones y sistemas, funciones en el plano, geometría, Pitágoras, Thales y conversiones (con GeoGebra).</w:t>
            </w:r>
          </w:p>
        </w:tc>
        <w:tc>
          <w:tcPr>
            <w:tcW w:type="dxa" w:w="1814"/>
            <w:vAlign w:val="center"/>
          </w:tcPr>
          <w:p>
            <w:pPr>
              <w:spacing w:after="20"/>
            </w:pPr>
            <w:r/>
            <w:r>
              <w:rPr>
                <w:b w:val="0"/>
                <w:i w:val="0"/>
                <w:sz w:val="19"/>
              </w:rPr>
              <w:t>Instructor de matemáticas</w:t>
            </w:r>
          </w:p>
        </w:tc>
      </w:tr>
      <w:tr>
        <w:tc>
          <w:tcPr>
            <w:tcW w:type="dxa" w:w="1814"/>
            <w:vAlign w:val="center"/>
            <w:shd w:val="clear" w:color="auto" w:fill="F4F7F9"/>
          </w:tcPr>
          <w:p>
            <w:pPr>
              <w:spacing w:after="20"/>
            </w:pPr>
            <w:r/>
            <w:r>
              <w:rPr>
                <w:b w:val="0"/>
                <w:i w:val="0"/>
                <w:sz w:val="19"/>
              </w:rPr>
              <w:t>Apropiación</w:t>
            </w:r>
          </w:p>
        </w:tc>
        <w:tc>
          <w:tcPr>
            <w:tcW w:type="dxa" w:w="1020"/>
            <w:vAlign w:val="center"/>
            <w:shd w:val="clear" w:color="auto" w:fill="F4F7F9"/>
          </w:tcPr>
          <w:p>
            <w:pPr>
              <w:spacing w:after="20"/>
            </w:pPr>
            <w:r/>
            <w:r>
              <w:rPr>
                <w:b w:val="0"/>
                <w:i w:val="0"/>
                <w:sz w:val="19"/>
              </w:rPr>
              <w:t>3 h</w:t>
            </w:r>
          </w:p>
        </w:tc>
        <w:tc>
          <w:tcPr>
            <w:tcW w:type="dxa" w:w="5102"/>
            <w:vAlign w:val="center"/>
            <w:shd w:val="clear" w:color="auto" w:fill="F4F7F9"/>
          </w:tcPr>
          <w:p>
            <w:pPr>
              <w:spacing w:after="20"/>
            </w:pPr>
            <w:r/>
            <w:r>
              <w:rPr>
                <w:b w:val="0"/>
                <w:i w:val="0"/>
                <w:sz w:val="19"/>
              </w:rPr>
              <w:t>Taller de planteamiento de problemas (parejas) y socialización.</w:t>
            </w:r>
          </w:p>
        </w:tc>
        <w:tc>
          <w:tcPr>
            <w:tcW w:type="dxa" w:w="1814"/>
            <w:vAlign w:val="center"/>
            <w:shd w:val="clear" w:color="auto" w:fill="F4F7F9"/>
          </w:tcPr>
          <w:p>
            <w:pPr>
              <w:spacing w:after="20"/>
            </w:pPr>
            <w:r/>
            <w:r>
              <w:rPr>
                <w:b w:val="0"/>
                <w:i w:val="0"/>
                <w:sz w:val="19"/>
              </w:rPr>
              <w:t>Aprendices / instructor</w:t>
            </w:r>
          </w:p>
        </w:tc>
      </w:tr>
      <w:tr>
        <w:tc>
          <w:tcPr>
            <w:tcW w:type="dxa" w:w="1814"/>
            <w:vAlign w:val="center"/>
          </w:tcPr>
          <w:p>
            <w:pPr>
              <w:spacing w:after="20"/>
            </w:pPr>
            <w:r/>
            <w:r>
              <w:rPr>
                <w:b w:val="0"/>
                <w:i w:val="0"/>
                <w:sz w:val="19"/>
              </w:rPr>
              <w:t>Transferencia</w:t>
            </w:r>
          </w:p>
        </w:tc>
        <w:tc>
          <w:tcPr>
            <w:tcW w:type="dxa" w:w="1020"/>
            <w:vAlign w:val="center"/>
          </w:tcPr>
          <w:p>
            <w:pPr>
              <w:spacing w:after="20"/>
            </w:pPr>
            <w:r/>
            <w:r>
              <w:rPr>
                <w:b w:val="0"/>
                <w:i w:val="0"/>
                <w:sz w:val="19"/>
              </w:rPr>
              <w:t>5 h</w:t>
            </w:r>
          </w:p>
        </w:tc>
        <w:tc>
          <w:tcPr>
            <w:tcW w:type="dxa" w:w="5102"/>
            <w:vAlign w:val="center"/>
          </w:tcPr>
          <w:p>
            <w:pPr>
              <w:spacing w:after="20"/>
            </w:pPr>
            <w:r/>
            <w:r>
              <w:rPr>
                <w:b w:val="0"/>
                <w:i w:val="0"/>
                <w:sz w:val="19"/>
              </w:rPr>
              <w:t>Planteamiento de las reglas de negocio del proyecto, tabla de mediciones y conversiones y estimación de almacenamiento.</w:t>
            </w:r>
          </w:p>
        </w:tc>
        <w:tc>
          <w:tcPr>
            <w:tcW w:type="dxa" w:w="1814"/>
            <w:vAlign w:val="center"/>
          </w:tcPr>
          <w:p>
            <w:pPr>
              <w:spacing w:after="20"/>
            </w:pPr>
            <w:r/>
            <w:r>
              <w:rPr>
                <w:b w:val="0"/>
                <w:i w:val="0"/>
                <w:sz w:val="19"/>
              </w:rPr>
              <w:t>Equipos de proyecto</w:t>
            </w:r>
          </w:p>
        </w:tc>
      </w:tr>
      <w:tr>
        <w:tc>
          <w:tcPr>
            <w:tcW w:type="dxa" w:w="1814"/>
            <w:vAlign w:val="center"/>
            <w:shd w:val="clear" w:color="auto" w:fill="F4F7F9"/>
          </w:tcPr>
          <w:p>
            <w:pPr>
              <w:spacing w:after="20"/>
            </w:pPr>
            <w:r/>
            <w:r>
              <w:rPr>
                <w:b w:val="0"/>
                <w:i w:val="0"/>
                <w:sz w:val="19"/>
              </w:rPr>
              <w:t>Transferencia</w:t>
            </w:r>
          </w:p>
        </w:tc>
        <w:tc>
          <w:tcPr>
            <w:tcW w:type="dxa" w:w="1020"/>
            <w:vAlign w:val="center"/>
            <w:shd w:val="clear" w:color="auto" w:fill="F4F7F9"/>
          </w:tcPr>
          <w:p>
            <w:pPr>
              <w:spacing w:after="20"/>
            </w:pPr>
            <w:r/>
            <w:r>
              <w:rPr>
                <w:b w:val="0"/>
                <w:i w:val="0"/>
                <w:sz w:val="19"/>
              </w:rPr>
              <w:t>1 h</w:t>
            </w:r>
          </w:p>
        </w:tc>
        <w:tc>
          <w:tcPr>
            <w:tcW w:type="dxa" w:w="5102"/>
            <w:vAlign w:val="center"/>
            <w:shd w:val="clear" w:color="auto" w:fill="F4F7F9"/>
          </w:tcPr>
          <w:p>
            <w:pPr>
              <w:spacing w:after="20"/>
            </w:pPr>
            <w:r/>
            <w:r>
              <w:rPr>
                <w:b w:val="0"/>
                <w:i w:val="0"/>
                <w:sz w:val="19"/>
              </w:rPr>
              <w:t>Cuestionario de conocimiento y retroalimentación.</w:t>
            </w:r>
          </w:p>
        </w:tc>
        <w:tc>
          <w:tcPr>
            <w:tcW w:type="dxa" w:w="1814"/>
            <w:vAlign w:val="center"/>
            <w:shd w:val="clear" w:color="auto" w:fill="F4F7F9"/>
          </w:tcPr>
          <w:p>
            <w:pPr>
              <w:spacing w:after="20"/>
            </w:pPr>
            <w:r/>
            <w:r>
              <w:rPr>
                <w:b w:val="0"/>
                <w:i w:val="0"/>
                <w:sz w:val="19"/>
              </w:rPr>
              <w:t>Instructor de matemáticas</w:t>
            </w:r>
          </w:p>
        </w:tc>
      </w:tr>
    </w:tbl>
    <w:p>
      <w:pPr>
        <w:spacing w:after="40"/>
      </w:pPr>
    </w:p>
    <w:p>
      <w:pPr>
        <w:pStyle w:val="Heading1"/>
      </w:pPr>
      <w:r>
        <w:t>3. Desarrollo de las actividades</w:t>
      </w:r>
    </w:p>
    <w:p>
      <w:pPr>
        <w:pStyle w:val="Heading2"/>
      </w:pPr>
      <w:r>
        <w:t>3.1 Taller de planteamiento de problemas</w:t>
      </w:r>
    </w:p>
    <w:p>
      <w:pPr>
        <w:jc w:val="both"/>
      </w:pPr>
      <w:r>
        <w:rPr>
          <w:b/>
          <w:i w:val="0"/>
        </w:rPr>
        <w:t>Duración: 3 horas · Modalidad: parejas · Estrategia: resolución de problemas</w:t>
      </w:r>
    </w:p>
    <w:p>
      <w:pPr>
        <w:jc w:val="both"/>
      </w:pPr>
      <w:r>
        <w:rPr>
          <w:b w:val="0"/>
          <w:i w:val="0"/>
        </w:rPr>
        <w:t>Caso: tienda y finca proveedora de «Agrosur». Resuelvan mostrando el procedimiento; en los ejercicios 1 y 10 únicamente planteen.</w:t>
      </w:r>
    </w:p>
    <w:p>
      <w:pPr>
        <w:spacing w:after="60"/>
        <w:ind w:left="425" w:hanging="340"/>
        <w:jc w:val="both"/>
      </w:pPr>
      <w:r>
        <w:rPr>
          <w:b/>
          <w:color w:val="39A900"/>
        </w:rPr>
        <w:t xml:space="preserve">1.  </w:t>
      </w:r>
      <w:r>
        <w:rPr>
          <w:b w:val="0"/>
          <w:i w:val="0"/>
        </w:rPr>
        <w:t>Agrosur vendió en un día 30 bultos entre concentrado ($85.000 cada uno) y sal mineralizada ($45.000 cada uno), por un total de $2.070.000. Plantee el sistema de ecuaciones que permite hallar cuántos bultos de cada producto se vendieron (no lo resuelva todavía).</w:t>
      </w:r>
    </w:p>
    <w:p>
      <w:pPr>
        <w:spacing w:after="60"/>
        <w:ind w:left="425" w:hanging="340"/>
        <w:jc w:val="both"/>
      </w:pPr>
      <w:r>
        <w:rPr>
          <w:b/>
          <w:color w:val="39A900"/>
        </w:rPr>
        <w:t xml:space="preserve">2.  </w:t>
      </w:r>
      <w:r>
        <w:rPr>
          <w:b w:val="0"/>
          <w:i w:val="0"/>
        </w:rPr>
        <w:t>El precio con IVA (19 %) de un producto es $101.150. Plantee la ecuación para hallar el precio sin IVA y resuélvala.</w:t>
      </w:r>
    </w:p>
    <w:p>
      <w:pPr>
        <w:spacing w:after="60"/>
        <w:ind w:left="425" w:hanging="340"/>
        <w:jc w:val="both"/>
      </w:pPr>
      <w:r>
        <w:rPr>
          <w:b/>
          <w:color w:val="39A900"/>
        </w:rPr>
        <w:t xml:space="preserve">3.  </w:t>
      </w:r>
      <w:r>
        <w:rPr>
          <w:b w:val="0"/>
          <w:i w:val="0"/>
        </w:rPr>
        <w:t>Represente en el plano cartesiano la función C(q) = 85.000q + 25.000 para q = 0, 1, 2, 3, 4, 5. ¿Qué forma tiene la gráfica?</w:t>
      </w:r>
    </w:p>
    <w:p>
      <w:pPr>
        <w:spacing w:after="60"/>
        <w:ind w:left="425" w:hanging="340"/>
        <w:jc w:val="both"/>
      </w:pPr>
      <w:r>
        <w:rPr>
          <w:b/>
          <w:color w:val="39A900"/>
        </w:rPr>
        <w:t xml:space="preserve">4.  </w:t>
      </w:r>
      <w:r>
        <w:rPr>
          <w:b w:val="0"/>
          <w:i w:val="0"/>
        </w:rPr>
        <w:t>La bodega es un rectángulo de 12 m de largo por 8,5 m de ancho y 3 m de altura. Calcule su perímetro, su área y su volumen.</w:t>
      </w:r>
    </w:p>
    <w:p>
      <w:pPr>
        <w:spacing w:after="60"/>
        <w:ind w:left="425" w:hanging="340"/>
        <w:jc w:val="both"/>
      </w:pPr>
      <w:r>
        <w:rPr>
          <w:b/>
          <w:color w:val="39A900"/>
        </w:rPr>
        <w:t xml:space="preserve">5.  </w:t>
      </w:r>
      <w:r>
        <w:rPr>
          <w:b w:val="0"/>
          <w:i w:val="0"/>
        </w:rPr>
        <w:t>Para subir los bultos a la plataforma de carga se usa una rampa. La plataforma tiene 1,2 m de altura y la rampa se apoya a 5 m de distancia horizontal. ¿Cuánto mide la rampa?</w:t>
      </w:r>
    </w:p>
    <w:p>
      <w:pPr>
        <w:spacing w:after="60"/>
        <w:ind w:left="425" w:hanging="340"/>
        <w:jc w:val="both"/>
      </w:pPr>
      <w:r>
        <w:rPr>
          <w:b/>
          <w:color w:val="39A900"/>
        </w:rPr>
        <w:t xml:space="preserve">6.  </w:t>
      </w:r>
      <w:r>
        <w:rPr>
          <w:b w:val="0"/>
          <w:i w:val="0"/>
        </w:rPr>
        <w:t>A la misma hora, un poste de 2 m proyecta una sombra de 1,5 m y el tanque de agua de la finca proyecta una sombra de 4,8 m. Plantee la proporción (teorema de Thales) y halle la altura del tanque.</w:t>
      </w:r>
    </w:p>
    <w:p>
      <w:pPr>
        <w:spacing w:after="60"/>
        <w:ind w:left="425" w:hanging="340"/>
        <w:jc w:val="both"/>
      </w:pPr>
      <w:r>
        <w:rPr>
          <w:b/>
          <w:color w:val="39A900"/>
        </w:rPr>
        <w:t xml:space="preserve">7.  </w:t>
      </w:r>
      <w:r>
        <w:rPr>
          <w:b w:val="0"/>
          <w:i w:val="0"/>
        </w:rPr>
        <w:t>Llegó un pedido de 2,5 toneladas de concentrado en bultos de 40 kg. ¿Cuántos kilogramos son y cuántos bultos completos se reciben?</w:t>
      </w:r>
    </w:p>
    <w:p>
      <w:pPr>
        <w:spacing w:after="60"/>
        <w:ind w:left="425" w:hanging="340"/>
        <w:jc w:val="both"/>
      </w:pPr>
      <w:r>
        <w:rPr>
          <w:b/>
          <w:color w:val="39A900"/>
        </w:rPr>
        <w:t xml:space="preserve">8.  </w:t>
      </w:r>
      <w:r>
        <w:rPr>
          <w:b w:val="0"/>
          <w:i w:val="0"/>
        </w:rPr>
        <w:t>El tiempo promedio de atención de un pedido es 3 h 45 min. Expréselo en minutos y en horas decimales.</w:t>
      </w:r>
    </w:p>
    <w:p>
      <w:pPr>
        <w:spacing w:after="60"/>
        <w:ind w:left="425" w:hanging="340"/>
        <w:jc w:val="both"/>
      </w:pPr>
      <w:r>
        <w:rPr>
          <w:b/>
          <w:color w:val="39A900"/>
        </w:rPr>
        <w:t xml:space="preserve">9.  </w:t>
      </w:r>
      <w:r>
        <w:rPr>
          <w:b w:val="0"/>
          <w:i w:val="0"/>
        </w:rPr>
        <w:t>Cada registro de venta ocupa 512 bytes. Si se registran 350 ventas diarias durante 300 días al año, ¿cuánto espacio ocupa la tabla de ventas en un año, en bytes, KB y MB? (1 KB = 1.024 bytes)</w:t>
      </w:r>
    </w:p>
    <w:p>
      <w:pPr>
        <w:spacing w:after="60"/>
        <w:ind w:left="425" w:hanging="340"/>
        <w:jc w:val="both"/>
      </w:pPr>
      <w:r>
        <w:rPr>
          <w:b/>
          <w:color w:val="39A900"/>
        </w:rPr>
        <w:t xml:space="preserve">10.  </w:t>
      </w:r>
      <w:r>
        <w:rPr>
          <w:b w:val="0"/>
          <w:i w:val="0"/>
        </w:rPr>
        <w:t>Un lote rectangular tiene 1.800 m² de área y su largo es el doble de su ancho. Plantee la ecuación que permite hallar sus dimensiones.</w:t>
      </w:r>
    </w:p>
    <w:p>
      <w:pPr>
        <w:spacing w:after="60"/>
        <w:ind w:left="425" w:hanging="340"/>
        <w:jc w:val="both"/>
      </w:pPr>
      <w:r>
        <w:rPr>
          <w:b/>
          <w:color w:val="39A900"/>
        </w:rPr>
        <w:t xml:space="preserve">11.  </w:t>
      </w:r>
      <w:r>
        <w:rPr>
          <w:b w:val="0"/>
          <w:i w:val="0"/>
        </w:rPr>
        <w:t>El tanque cilíndrico de la finca tiene 1 m de radio y 2,5 m de altura. Calcule su volumen en m³ y en litros.</w:t>
      </w:r>
    </w:p>
    <w:p>
      <w:pPr>
        <w:pStyle w:val="Heading2"/>
      </w:pPr>
      <w:r>
        <w:t>3.2 Transferencia: planteamiento de las reglas de negocio del proyecto</w:t>
      </w:r>
    </w:p>
    <w:p>
      <w:pPr>
        <w:jc w:val="both"/>
      </w:pPr>
      <w:r>
        <w:rPr>
          <w:b/>
          <w:i w:val="0"/>
        </w:rPr>
        <w:t>Duración: 5 horas · Modalidad: equipo de proyecto · Estrategia: ABP</w:t>
      </w:r>
    </w:p>
    <w:tbl>
      <w:tblPr>
        <w:tblW w:type="dxa" w:w="9752"/>
        <w:jc w:val="center"/>
        <w:tblLayout w:type="fixed"/>
        <w:tblLook w:firstColumn="1" w:firstRow="1" w:lastColumn="0" w:lastRow="0" w:noHBand="0" w:noVBand="1" w:val="04A0"/>
        <w:tblBorders>
          <w:top w:val="single" w:sz="4" w:space="0" w:color="B7C4CE"/>
          <w:left w:val="single" w:sz="4" w:space="0" w:color="B7C4CE"/>
          <w:bottom w:val="single" w:sz="4" w:space="0" w:color="B7C4CE"/>
          <w:right w:val="single" w:sz="4" w:space="0" w:color="B7C4CE"/>
          <w:insideH w:val="single" w:sz="4" w:space="0" w:color="B7C4CE"/>
          <w:insideV w:val="single" w:sz="4" w:space="0" w:color="B7C4CE"/>
        </w:tblBorders>
        <w:tblLayout w:type="fixed"/>
      </w:tblPr>
      <w:tblGrid>
        <w:gridCol w:w="2835"/>
        <w:gridCol w:w="2268"/>
        <w:gridCol w:w="2835"/>
        <w:gridCol w:w="1814"/>
      </w:tblGrid>
      <w:tr>
        <w:trPr>
          <w:tblHeader w:val="true"/>
        </w:trPr>
        <w:tc>
          <w:tcPr>
            <w:tcW w:type="dxa" w:w="2835"/>
            <w:shd w:val="clear" w:color="auto" w:fill="00304D"/>
            <w:vAlign w:val="center"/>
          </w:tcPr>
          <w:p>
            <w:r/>
            <w:r>
              <w:rPr>
                <w:b/>
                <w:color w:val="FFFFFF"/>
                <w:sz w:val="19"/>
              </w:rPr>
              <w:t>Regla de negocio (de la matriz de interpretación)</w:t>
            </w:r>
          </w:p>
        </w:tc>
        <w:tc>
          <w:tcPr>
            <w:tcW w:type="dxa" w:w="2268"/>
            <w:shd w:val="clear" w:color="auto" w:fill="00304D"/>
            <w:vAlign w:val="center"/>
          </w:tcPr>
          <w:p>
            <w:r/>
            <w:r>
              <w:rPr>
                <w:b/>
                <w:color w:val="FFFFFF"/>
                <w:sz w:val="19"/>
              </w:rPr>
              <w:t>Variables y unidades</w:t>
            </w:r>
          </w:p>
        </w:tc>
        <w:tc>
          <w:tcPr>
            <w:tcW w:type="dxa" w:w="2835"/>
            <w:shd w:val="clear" w:color="auto" w:fill="00304D"/>
            <w:vAlign w:val="center"/>
          </w:tcPr>
          <w:p>
            <w:r/>
            <w:r>
              <w:rPr>
                <w:b/>
                <w:color w:val="FFFFFF"/>
                <w:sz w:val="19"/>
              </w:rPr>
              <w:t>Ecuación / sistema / función</w:t>
            </w:r>
          </w:p>
        </w:tc>
        <w:tc>
          <w:tcPr>
            <w:tcW w:type="dxa" w:w="1814"/>
            <w:shd w:val="clear" w:color="auto" w:fill="00304D"/>
            <w:vAlign w:val="center"/>
          </w:tcPr>
          <w:p>
            <w:r/>
            <w:r>
              <w:rPr>
                <w:b/>
                <w:color w:val="FFFFFF"/>
                <w:sz w:val="19"/>
              </w:rPr>
              <w:t>Tipo de modelo</w:t>
            </w:r>
          </w:p>
        </w:tc>
      </w:tr>
      <w:tr>
        <w:tc>
          <w:tcPr>
            <w:tcW w:type="dxa" w:w="2835"/>
            <w:vAlign w:val="center"/>
          </w:tcPr>
          <w:p>
            <w:pPr>
              <w:spacing w:after="20"/>
            </w:pPr>
            <w:r/>
          </w:p>
        </w:tc>
        <w:tc>
          <w:tcPr>
            <w:tcW w:type="dxa" w:w="2268"/>
            <w:vAlign w:val="center"/>
          </w:tcPr>
          <w:p>
            <w:pPr>
              <w:spacing w:after="20"/>
            </w:pPr>
            <w:r/>
          </w:p>
        </w:tc>
        <w:tc>
          <w:tcPr>
            <w:tcW w:type="dxa" w:w="2835"/>
            <w:vAlign w:val="center"/>
          </w:tcPr>
          <w:p>
            <w:pPr>
              <w:spacing w:after="20"/>
            </w:pPr>
            <w:r/>
          </w:p>
        </w:tc>
        <w:tc>
          <w:tcPr>
            <w:tcW w:type="dxa" w:w="1814"/>
            <w:vAlign w:val="center"/>
          </w:tcPr>
          <w:p>
            <w:pPr>
              <w:spacing w:after="20"/>
            </w:pPr>
            <w:r/>
          </w:p>
        </w:tc>
      </w:tr>
      <w:tr>
        <w:tc>
          <w:tcPr>
            <w:tcW w:type="dxa" w:w="2835"/>
            <w:vAlign w:val="center"/>
            <w:shd w:val="clear" w:color="auto" w:fill="F4F7F9"/>
          </w:tcPr>
          <w:p>
            <w:pPr>
              <w:spacing w:after="20"/>
            </w:pPr>
            <w:r/>
          </w:p>
        </w:tc>
        <w:tc>
          <w:tcPr>
            <w:tcW w:type="dxa" w:w="2268"/>
            <w:vAlign w:val="center"/>
            <w:shd w:val="clear" w:color="auto" w:fill="F4F7F9"/>
          </w:tcPr>
          <w:p>
            <w:pPr>
              <w:spacing w:after="20"/>
            </w:pPr>
            <w:r/>
          </w:p>
        </w:tc>
        <w:tc>
          <w:tcPr>
            <w:tcW w:type="dxa" w:w="2835"/>
            <w:vAlign w:val="center"/>
            <w:shd w:val="clear" w:color="auto" w:fill="F4F7F9"/>
          </w:tcPr>
          <w:p>
            <w:pPr>
              <w:spacing w:after="20"/>
            </w:pPr>
            <w:r/>
          </w:p>
        </w:tc>
        <w:tc>
          <w:tcPr>
            <w:tcW w:type="dxa" w:w="1814"/>
            <w:vAlign w:val="center"/>
            <w:shd w:val="clear" w:color="auto" w:fill="F4F7F9"/>
          </w:tcPr>
          <w:p>
            <w:pPr>
              <w:spacing w:after="20"/>
            </w:pPr>
            <w:r/>
          </w:p>
        </w:tc>
      </w:tr>
      <w:tr>
        <w:tc>
          <w:tcPr>
            <w:tcW w:type="dxa" w:w="2835"/>
            <w:vAlign w:val="center"/>
          </w:tcPr>
          <w:p>
            <w:pPr>
              <w:spacing w:after="20"/>
            </w:pPr>
            <w:r/>
          </w:p>
        </w:tc>
        <w:tc>
          <w:tcPr>
            <w:tcW w:type="dxa" w:w="2268"/>
            <w:vAlign w:val="center"/>
          </w:tcPr>
          <w:p>
            <w:pPr>
              <w:spacing w:after="20"/>
            </w:pPr>
            <w:r/>
          </w:p>
        </w:tc>
        <w:tc>
          <w:tcPr>
            <w:tcW w:type="dxa" w:w="2835"/>
            <w:vAlign w:val="center"/>
          </w:tcPr>
          <w:p>
            <w:pPr>
              <w:spacing w:after="20"/>
            </w:pPr>
            <w:r/>
          </w:p>
        </w:tc>
        <w:tc>
          <w:tcPr>
            <w:tcW w:type="dxa" w:w="1814"/>
            <w:vAlign w:val="center"/>
          </w:tcPr>
          <w:p>
            <w:pPr>
              <w:spacing w:after="20"/>
            </w:pPr>
            <w:r/>
          </w:p>
        </w:tc>
      </w:tr>
      <w:tr>
        <w:tc>
          <w:tcPr>
            <w:tcW w:type="dxa" w:w="2835"/>
            <w:vAlign w:val="center"/>
            <w:shd w:val="clear" w:color="auto" w:fill="F4F7F9"/>
          </w:tcPr>
          <w:p>
            <w:pPr>
              <w:spacing w:after="20"/>
            </w:pPr>
            <w:r/>
          </w:p>
        </w:tc>
        <w:tc>
          <w:tcPr>
            <w:tcW w:type="dxa" w:w="2268"/>
            <w:vAlign w:val="center"/>
            <w:shd w:val="clear" w:color="auto" w:fill="F4F7F9"/>
          </w:tcPr>
          <w:p>
            <w:pPr>
              <w:spacing w:after="20"/>
            </w:pPr>
            <w:r/>
          </w:p>
        </w:tc>
        <w:tc>
          <w:tcPr>
            <w:tcW w:type="dxa" w:w="2835"/>
            <w:vAlign w:val="center"/>
            <w:shd w:val="clear" w:color="auto" w:fill="F4F7F9"/>
          </w:tcPr>
          <w:p>
            <w:pPr>
              <w:spacing w:after="20"/>
            </w:pPr>
            <w:r/>
          </w:p>
        </w:tc>
        <w:tc>
          <w:tcPr>
            <w:tcW w:type="dxa" w:w="1814"/>
            <w:vAlign w:val="center"/>
            <w:shd w:val="clear" w:color="auto" w:fill="F4F7F9"/>
          </w:tcPr>
          <w:p>
            <w:pPr>
              <w:spacing w:after="20"/>
            </w:pPr>
            <w:r/>
          </w:p>
        </w:tc>
      </w:tr>
      <w:tr>
        <w:tc>
          <w:tcPr>
            <w:tcW w:type="dxa" w:w="2835"/>
            <w:vAlign w:val="center"/>
          </w:tcPr>
          <w:p>
            <w:pPr>
              <w:spacing w:after="20"/>
            </w:pPr>
            <w:r/>
          </w:p>
        </w:tc>
        <w:tc>
          <w:tcPr>
            <w:tcW w:type="dxa" w:w="2268"/>
            <w:vAlign w:val="center"/>
          </w:tcPr>
          <w:p>
            <w:pPr>
              <w:spacing w:after="20"/>
            </w:pPr>
            <w:r/>
          </w:p>
        </w:tc>
        <w:tc>
          <w:tcPr>
            <w:tcW w:type="dxa" w:w="2835"/>
            <w:vAlign w:val="center"/>
          </w:tcPr>
          <w:p>
            <w:pPr>
              <w:spacing w:after="20"/>
            </w:pPr>
            <w:r/>
          </w:p>
        </w:tc>
        <w:tc>
          <w:tcPr>
            <w:tcW w:type="dxa" w:w="1814"/>
            <w:vAlign w:val="center"/>
          </w:tcPr>
          <w:p>
            <w:pPr>
              <w:spacing w:after="20"/>
            </w:pPr>
            <w:r/>
          </w:p>
        </w:tc>
      </w:tr>
    </w:tbl>
    <w:p>
      <w:pPr>
        <w:spacing w:after="40"/>
      </w:pPr>
    </w:p>
    <w:p>
      <w:pPr>
        <w:pStyle w:val="Heading3"/>
      </w:pPr>
      <w:r>
        <w:t>Tabla de mediciones y conversiones del proceso</w:t>
      </w:r>
    </w:p>
    <w:tbl>
      <w:tblPr>
        <w:tblW w:type="dxa" w:w="9752"/>
        <w:jc w:val="center"/>
        <w:tblLayout w:type="fixed"/>
        <w:tblLook w:firstColumn="1" w:firstRow="1" w:lastColumn="0" w:lastRow="0" w:noHBand="0" w:noVBand="1" w:val="04A0"/>
        <w:tblBorders>
          <w:top w:val="single" w:sz="4" w:space="0" w:color="B7C4CE"/>
          <w:left w:val="single" w:sz="4" w:space="0" w:color="B7C4CE"/>
          <w:bottom w:val="single" w:sz="4" w:space="0" w:color="B7C4CE"/>
          <w:right w:val="single" w:sz="4" w:space="0" w:color="B7C4CE"/>
          <w:insideH w:val="single" w:sz="4" w:space="0" w:color="B7C4CE"/>
          <w:insideV w:val="single" w:sz="4" w:space="0" w:color="B7C4CE"/>
        </w:tblBorders>
        <w:tblLayout w:type="fixed"/>
      </w:tblPr>
      <w:tblGrid>
        <w:gridCol w:w="1814"/>
        <w:gridCol w:w="1360"/>
        <w:gridCol w:w="1360"/>
        <w:gridCol w:w="1814"/>
        <w:gridCol w:w="1701"/>
        <w:gridCol w:w="1701"/>
      </w:tblGrid>
      <w:tr>
        <w:trPr>
          <w:tblHeader w:val="true"/>
        </w:trPr>
        <w:tc>
          <w:tcPr>
            <w:tcW w:type="dxa" w:w="1814"/>
            <w:shd w:val="clear" w:color="auto" w:fill="00304D"/>
            <w:vAlign w:val="center"/>
          </w:tcPr>
          <w:p>
            <w:r/>
            <w:r>
              <w:rPr>
                <w:b/>
                <w:color w:val="FFFFFF"/>
                <w:sz w:val="19"/>
              </w:rPr>
              <w:t>Magnitud medida</w:t>
            </w:r>
          </w:p>
        </w:tc>
        <w:tc>
          <w:tcPr>
            <w:tcW w:type="dxa" w:w="1361"/>
            <w:shd w:val="clear" w:color="auto" w:fill="00304D"/>
            <w:vAlign w:val="center"/>
          </w:tcPr>
          <w:p>
            <w:r/>
            <w:r>
              <w:rPr>
                <w:b/>
                <w:color w:val="FFFFFF"/>
                <w:sz w:val="19"/>
              </w:rPr>
              <w:t>Valor medido</w:t>
            </w:r>
          </w:p>
        </w:tc>
        <w:tc>
          <w:tcPr>
            <w:tcW w:type="dxa" w:w="1361"/>
            <w:shd w:val="clear" w:color="auto" w:fill="00304D"/>
            <w:vAlign w:val="center"/>
          </w:tcPr>
          <w:p>
            <w:r/>
            <w:r>
              <w:rPr>
                <w:b/>
                <w:color w:val="FFFFFF"/>
                <w:sz w:val="19"/>
              </w:rPr>
              <w:t>Unidad original</w:t>
            </w:r>
          </w:p>
        </w:tc>
        <w:tc>
          <w:tcPr>
            <w:tcW w:type="dxa" w:w="1814"/>
            <w:shd w:val="clear" w:color="auto" w:fill="00304D"/>
            <w:vAlign w:val="center"/>
          </w:tcPr>
          <w:p>
            <w:r/>
            <w:r>
              <w:rPr>
                <w:b/>
                <w:color w:val="FFFFFF"/>
                <w:sz w:val="19"/>
              </w:rPr>
              <w:t>Unidad que usará el software</w:t>
            </w:r>
          </w:p>
        </w:tc>
        <w:tc>
          <w:tcPr>
            <w:tcW w:type="dxa" w:w="1701"/>
            <w:shd w:val="clear" w:color="auto" w:fill="00304D"/>
            <w:vAlign w:val="center"/>
          </w:tcPr>
          <w:p>
            <w:r/>
            <w:r>
              <w:rPr>
                <w:b/>
                <w:color w:val="FFFFFF"/>
                <w:sz w:val="19"/>
              </w:rPr>
              <w:t>Factor de conversión</w:t>
            </w:r>
          </w:p>
        </w:tc>
        <w:tc>
          <w:tcPr>
            <w:tcW w:type="dxa" w:w="1701"/>
            <w:shd w:val="clear" w:color="auto" w:fill="00304D"/>
            <w:vAlign w:val="center"/>
          </w:tcPr>
          <w:p>
            <w:r/>
            <w:r>
              <w:rPr>
                <w:b/>
                <w:color w:val="FFFFFF"/>
                <w:sz w:val="19"/>
              </w:rPr>
              <w:t>Valor convertido</w:t>
            </w:r>
          </w:p>
        </w:tc>
      </w:tr>
      <w:tr>
        <w:tc>
          <w:tcPr>
            <w:tcW w:type="dxa" w:w="1814"/>
            <w:vAlign w:val="center"/>
          </w:tcPr>
          <w:p>
            <w:pPr>
              <w:spacing w:after="20"/>
            </w:pPr>
            <w:r/>
          </w:p>
        </w:tc>
        <w:tc>
          <w:tcPr>
            <w:tcW w:type="dxa" w:w="1361"/>
            <w:vAlign w:val="center"/>
          </w:tcPr>
          <w:p>
            <w:pPr>
              <w:spacing w:after="20"/>
            </w:pPr>
            <w:r/>
          </w:p>
        </w:tc>
        <w:tc>
          <w:tcPr>
            <w:tcW w:type="dxa" w:w="1361"/>
            <w:vAlign w:val="center"/>
          </w:tcPr>
          <w:p>
            <w:pPr>
              <w:spacing w:after="20"/>
            </w:pPr>
            <w:r/>
          </w:p>
        </w:tc>
        <w:tc>
          <w:tcPr>
            <w:tcW w:type="dxa" w:w="1814"/>
            <w:vAlign w:val="center"/>
          </w:tcPr>
          <w:p>
            <w:pPr>
              <w:spacing w:after="20"/>
            </w:pPr>
            <w:r/>
          </w:p>
        </w:tc>
        <w:tc>
          <w:tcPr>
            <w:tcW w:type="dxa" w:w="1701"/>
            <w:vAlign w:val="center"/>
          </w:tcPr>
          <w:p>
            <w:pPr>
              <w:spacing w:after="20"/>
            </w:pPr>
            <w:r/>
          </w:p>
        </w:tc>
        <w:tc>
          <w:tcPr>
            <w:tcW w:type="dxa" w:w="1701"/>
            <w:vAlign w:val="center"/>
          </w:tcPr>
          <w:p>
            <w:pPr>
              <w:spacing w:after="20"/>
            </w:pPr>
            <w:r/>
          </w:p>
        </w:tc>
      </w:tr>
      <w:tr>
        <w:tc>
          <w:tcPr>
            <w:tcW w:type="dxa" w:w="1814"/>
            <w:vAlign w:val="center"/>
            <w:shd w:val="clear" w:color="auto" w:fill="F4F7F9"/>
          </w:tcPr>
          <w:p>
            <w:pPr>
              <w:spacing w:after="20"/>
            </w:pPr>
            <w:r/>
          </w:p>
        </w:tc>
        <w:tc>
          <w:tcPr>
            <w:tcW w:type="dxa" w:w="1361"/>
            <w:vAlign w:val="center"/>
            <w:shd w:val="clear" w:color="auto" w:fill="F4F7F9"/>
          </w:tcPr>
          <w:p>
            <w:pPr>
              <w:spacing w:after="20"/>
            </w:pPr>
            <w:r/>
          </w:p>
        </w:tc>
        <w:tc>
          <w:tcPr>
            <w:tcW w:type="dxa" w:w="1361"/>
            <w:vAlign w:val="center"/>
            <w:shd w:val="clear" w:color="auto" w:fill="F4F7F9"/>
          </w:tcPr>
          <w:p>
            <w:pPr>
              <w:spacing w:after="20"/>
            </w:pPr>
            <w:r/>
          </w:p>
        </w:tc>
        <w:tc>
          <w:tcPr>
            <w:tcW w:type="dxa" w:w="1814"/>
            <w:vAlign w:val="center"/>
            <w:shd w:val="clear" w:color="auto" w:fill="F4F7F9"/>
          </w:tcPr>
          <w:p>
            <w:pPr>
              <w:spacing w:after="20"/>
            </w:pPr>
            <w:r/>
          </w:p>
        </w:tc>
        <w:tc>
          <w:tcPr>
            <w:tcW w:type="dxa" w:w="1701"/>
            <w:vAlign w:val="center"/>
            <w:shd w:val="clear" w:color="auto" w:fill="F4F7F9"/>
          </w:tcPr>
          <w:p>
            <w:pPr>
              <w:spacing w:after="20"/>
            </w:pPr>
            <w:r/>
          </w:p>
        </w:tc>
        <w:tc>
          <w:tcPr>
            <w:tcW w:type="dxa" w:w="1701"/>
            <w:vAlign w:val="center"/>
            <w:shd w:val="clear" w:color="auto" w:fill="F4F7F9"/>
          </w:tcPr>
          <w:p>
            <w:pPr>
              <w:spacing w:after="20"/>
            </w:pPr>
            <w:r/>
          </w:p>
        </w:tc>
      </w:tr>
      <w:tr>
        <w:tc>
          <w:tcPr>
            <w:tcW w:type="dxa" w:w="1814"/>
            <w:vAlign w:val="center"/>
          </w:tcPr>
          <w:p>
            <w:pPr>
              <w:spacing w:after="20"/>
            </w:pPr>
            <w:r/>
          </w:p>
        </w:tc>
        <w:tc>
          <w:tcPr>
            <w:tcW w:type="dxa" w:w="1361"/>
            <w:vAlign w:val="center"/>
          </w:tcPr>
          <w:p>
            <w:pPr>
              <w:spacing w:after="20"/>
            </w:pPr>
            <w:r/>
          </w:p>
        </w:tc>
        <w:tc>
          <w:tcPr>
            <w:tcW w:type="dxa" w:w="1361"/>
            <w:vAlign w:val="center"/>
          </w:tcPr>
          <w:p>
            <w:pPr>
              <w:spacing w:after="20"/>
            </w:pPr>
            <w:r/>
          </w:p>
        </w:tc>
        <w:tc>
          <w:tcPr>
            <w:tcW w:type="dxa" w:w="1814"/>
            <w:vAlign w:val="center"/>
          </w:tcPr>
          <w:p>
            <w:pPr>
              <w:spacing w:after="20"/>
            </w:pPr>
            <w:r/>
          </w:p>
        </w:tc>
        <w:tc>
          <w:tcPr>
            <w:tcW w:type="dxa" w:w="1701"/>
            <w:vAlign w:val="center"/>
          </w:tcPr>
          <w:p>
            <w:pPr>
              <w:spacing w:after="20"/>
            </w:pPr>
            <w:r/>
          </w:p>
        </w:tc>
        <w:tc>
          <w:tcPr>
            <w:tcW w:type="dxa" w:w="1701"/>
            <w:vAlign w:val="center"/>
          </w:tcPr>
          <w:p>
            <w:pPr>
              <w:spacing w:after="20"/>
            </w:pPr>
            <w:r/>
          </w:p>
        </w:tc>
      </w:tr>
      <w:tr>
        <w:tc>
          <w:tcPr>
            <w:tcW w:type="dxa" w:w="1814"/>
            <w:vAlign w:val="center"/>
            <w:shd w:val="clear" w:color="auto" w:fill="F4F7F9"/>
          </w:tcPr>
          <w:p>
            <w:pPr>
              <w:spacing w:after="20"/>
            </w:pPr>
            <w:r/>
          </w:p>
        </w:tc>
        <w:tc>
          <w:tcPr>
            <w:tcW w:type="dxa" w:w="1361"/>
            <w:vAlign w:val="center"/>
            <w:shd w:val="clear" w:color="auto" w:fill="F4F7F9"/>
          </w:tcPr>
          <w:p>
            <w:pPr>
              <w:spacing w:after="20"/>
            </w:pPr>
            <w:r/>
          </w:p>
        </w:tc>
        <w:tc>
          <w:tcPr>
            <w:tcW w:type="dxa" w:w="1361"/>
            <w:vAlign w:val="center"/>
            <w:shd w:val="clear" w:color="auto" w:fill="F4F7F9"/>
          </w:tcPr>
          <w:p>
            <w:pPr>
              <w:spacing w:after="20"/>
            </w:pPr>
            <w:r/>
          </w:p>
        </w:tc>
        <w:tc>
          <w:tcPr>
            <w:tcW w:type="dxa" w:w="1814"/>
            <w:vAlign w:val="center"/>
            <w:shd w:val="clear" w:color="auto" w:fill="F4F7F9"/>
          </w:tcPr>
          <w:p>
            <w:pPr>
              <w:spacing w:after="20"/>
            </w:pPr>
            <w:r/>
          </w:p>
        </w:tc>
        <w:tc>
          <w:tcPr>
            <w:tcW w:type="dxa" w:w="1701"/>
            <w:vAlign w:val="center"/>
            <w:shd w:val="clear" w:color="auto" w:fill="F4F7F9"/>
          </w:tcPr>
          <w:p>
            <w:pPr>
              <w:spacing w:after="20"/>
            </w:pPr>
            <w:r/>
          </w:p>
        </w:tc>
        <w:tc>
          <w:tcPr>
            <w:tcW w:type="dxa" w:w="1701"/>
            <w:vAlign w:val="center"/>
            <w:shd w:val="clear" w:color="auto" w:fill="F4F7F9"/>
          </w:tcPr>
          <w:p>
            <w:pPr>
              <w:spacing w:after="20"/>
            </w:pPr>
            <w:r/>
          </w:p>
        </w:tc>
      </w:tr>
      <w:tr>
        <w:tc>
          <w:tcPr>
            <w:tcW w:type="dxa" w:w="1814"/>
            <w:vAlign w:val="center"/>
          </w:tcPr>
          <w:p>
            <w:pPr>
              <w:spacing w:after="20"/>
            </w:pPr>
            <w:r/>
          </w:p>
        </w:tc>
        <w:tc>
          <w:tcPr>
            <w:tcW w:type="dxa" w:w="1361"/>
            <w:vAlign w:val="center"/>
          </w:tcPr>
          <w:p>
            <w:pPr>
              <w:spacing w:after="20"/>
            </w:pPr>
            <w:r/>
          </w:p>
        </w:tc>
        <w:tc>
          <w:tcPr>
            <w:tcW w:type="dxa" w:w="1361"/>
            <w:vAlign w:val="center"/>
          </w:tcPr>
          <w:p>
            <w:pPr>
              <w:spacing w:after="20"/>
            </w:pPr>
            <w:r/>
          </w:p>
        </w:tc>
        <w:tc>
          <w:tcPr>
            <w:tcW w:type="dxa" w:w="1814"/>
            <w:vAlign w:val="center"/>
          </w:tcPr>
          <w:p>
            <w:pPr>
              <w:spacing w:after="20"/>
            </w:pPr>
            <w:r/>
          </w:p>
        </w:tc>
        <w:tc>
          <w:tcPr>
            <w:tcW w:type="dxa" w:w="1701"/>
            <w:vAlign w:val="center"/>
          </w:tcPr>
          <w:p>
            <w:pPr>
              <w:spacing w:after="20"/>
            </w:pPr>
            <w:r/>
          </w:p>
        </w:tc>
        <w:tc>
          <w:tcPr>
            <w:tcW w:type="dxa" w:w="1701"/>
            <w:vAlign w:val="center"/>
          </w:tcPr>
          <w:p>
            <w:pPr>
              <w:spacing w:after="20"/>
            </w:pPr>
            <w:r/>
          </w:p>
        </w:tc>
      </w:tr>
    </w:tbl>
    <w:p>
      <w:pPr>
        <w:spacing w:after="40"/>
      </w:pPr>
    </w:p>
    <w:p>
      <w:pPr>
        <w:pStyle w:val="Heading3"/>
      </w:pPr>
      <w:r>
        <w:t>Estimación del almacenamiento de la entidad principal</w:t>
      </w:r>
    </w:p>
    <w:p>
      <w:pPr>
        <w:jc w:val="both"/>
      </w:pPr>
      <w:r>
        <w:rPr>
          <w:b w:val="0"/>
          <w:i w:val="0"/>
        </w:rPr>
        <w:t>Con el MER del proyecto (sesión 05 técnica), estimen el tamaño en bytes de un registro de la entidad principal (sumando el tamaño aproximado de cada atributo), el número de registros por día y por año, y calculen el almacenamiento anual en bytes, KB y MB.</w:t>
      </w:r>
    </w:p>
    <w:p>
      <w:pPr>
        <w:pStyle w:val="Heading1"/>
      </w:pPr>
      <w:r>
        <w:t>4. Entregables de la sesión</w:t>
      </w:r>
    </w:p>
    <w:tbl>
      <w:tblPr>
        <w:tblW w:type="dxa" w:w="9752"/>
        <w:jc w:val="center"/>
        <w:tblLayout w:type="fixed"/>
        <w:tblLook w:firstColumn="1" w:firstRow="1" w:lastColumn="0" w:lastRow="0" w:noHBand="0" w:noVBand="1" w:val="04A0"/>
        <w:tblBorders>
          <w:top w:val="single" w:sz="4" w:space="0" w:color="B7C4CE"/>
          <w:left w:val="single" w:sz="4" w:space="0" w:color="B7C4CE"/>
          <w:bottom w:val="single" w:sz="4" w:space="0" w:color="B7C4CE"/>
          <w:right w:val="single" w:sz="4" w:space="0" w:color="B7C4CE"/>
          <w:insideH w:val="single" w:sz="4" w:space="0" w:color="B7C4CE"/>
          <w:insideV w:val="single" w:sz="4" w:space="0" w:color="B7C4CE"/>
        </w:tblBorders>
        <w:tblLayout w:type="fixed"/>
      </w:tblPr>
      <w:tblGrid>
        <w:gridCol w:w="4536"/>
        <w:gridCol w:w="1927"/>
        <w:gridCol w:w="3288"/>
      </w:tblGrid>
      <w:tr>
        <w:trPr>
          <w:tblHeader w:val="true"/>
        </w:trPr>
        <w:tc>
          <w:tcPr>
            <w:tcW w:type="dxa" w:w="4535"/>
            <w:shd w:val="clear" w:color="auto" w:fill="00304D"/>
            <w:vAlign w:val="center"/>
          </w:tcPr>
          <w:p>
            <w:r/>
            <w:r>
              <w:rPr>
                <w:b/>
                <w:color w:val="FFFFFF"/>
                <w:sz w:val="20"/>
              </w:rPr>
              <w:t>Entregable</w:t>
            </w:r>
          </w:p>
        </w:tc>
        <w:tc>
          <w:tcPr>
            <w:tcW w:type="dxa" w:w="1928"/>
            <w:shd w:val="clear" w:color="auto" w:fill="00304D"/>
            <w:vAlign w:val="center"/>
          </w:tcPr>
          <w:p>
            <w:r/>
            <w:r>
              <w:rPr>
                <w:b/>
                <w:color w:val="FFFFFF"/>
                <w:sz w:val="20"/>
              </w:rPr>
              <w:t>Tipo de evidencia</w:t>
            </w:r>
          </w:p>
        </w:tc>
        <w:tc>
          <w:tcPr>
            <w:tcW w:type="dxa" w:w="3288"/>
            <w:shd w:val="clear" w:color="auto" w:fill="00304D"/>
            <w:vAlign w:val="center"/>
          </w:tcPr>
          <w:p>
            <w:r/>
            <w:r>
              <w:rPr>
                <w:b/>
                <w:color w:val="FFFFFF"/>
                <w:sz w:val="20"/>
              </w:rPr>
              <w:t>Forma de entrega</w:t>
            </w:r>
          </w:p>
        </w:tc>
      </w:tr>
      <w:tr>
        <w:tc>
          <w:tcPr>
            <w:tcW w:type="dxa" w:w="4535"/>
            <w:vAlign w:val="center"/>
          </w:tcPr>
          <w:p>
            <w:pPr>
              <w:spacing w:after="20"/>
            </w:pPr>
            <w:r/>
            <w:r>
              <w:rPr>
                <w:b w:val="0"/>
                <w:i w:val="0"/>
                <w:sz w:val="20"/>
              </w:rPr>
              <w:t>Taller de planteamiento de problemas</w:t>
            </w:r>
          </w:p>
        </w:tc>
        <w:tc>
          <w:tcPr>
            <w:tcW w:type="dxa" w:w="1928"/>
            <w:vAlign w:val="center"/>
          </w:tcPr>
          <w:p>
            <w:pPr>
              <w:spacing w:after="20"/>
            </w:pPr>
            <w:r/>
            <w:r>
              <w:rPr>
                <w:b w:val="0"/>
                <w:i w:val="0"/>
                <w:sz w:val="20"/>
              </w:rPr>
              <w:t>Conocimiento (formativa)</w:t>
            </w:r>
          </w:p>
        </w:tc>
        <w:tc>
          <w:tcPr>
            <w:tcW w:type="dxa" w:w="3288"/>
            <w:vAlign w:val="center"/>
          </w:tcPr>
          <w:p>
            <w:pPr>
              <w:spacing w:after="20"/>
            </w:pPr>
            <w:r/>
            <w:r>
              <w:rPr>
                <w:b w:val="0"/>
                <w:i w:val="0"/>
                <w:sz w:val="20"/>
              </w:rPr>
              <w:t>Por pareja</w:t>
            </w:r>
          </w:p>
        </w:tc>
      </w:tr>
      <w:tr>
        <w:tc>
          <w:tcPr>
            <w:tcW w:type="dxa" w:w="4535"/>
            <w:vAlign w:val="center"/>
            <w:shd w:val="clear" w:color="auto" w:fill="F4F7F9"/>
          </w:tcPr>
          <w:p>
            <w:pPr>
              <w:spacing w:after="20"/>
            </w:pPr>
            <w:r/>
            <w:r>
              <w:rPr>
                <w:b w:val="0"/>
                <w:i w:val="0"/>
                <w:sz w:val="20"/>
              </w:rPr>
              <w:t>Cuestionario de planteamiento de problemas</w:t>
            </w:r>
          </w:p>
        </w:tc>
        <w:tc>
          <w:tcPr>
            <w:tcW w:type="dxa" w:w="1928"/>
            <w:vAlign w:val="center"/>
            <w:shd w:val="clear" w:color="auto" w:fill="F4F7F9"/>
          </w:tcPr>
          <w:p>
            <w:pPr>
              <w:spacing w:after="20"/>
            </w:pPr>
            <w:r/>
            <w:r>
              <w:rPr>
                <w:b w:val="0"/>
                <w:i w:val="0"/>
                <w:sz w:val="20"/>
              </w:rPr>
              <w:t>Conocimiento</w:t>
            </w:r>
          </w:p>
        </w:tc>
        <w:tc>
          <w:tcPr>
            <w:tcW w:type="dxa" w:w="3288"/>
            <w:vAlign w:val="center"/>
            <w:shd w:val="clear" w:color="auto" w:fill="F4F7F9"/>
          </w:tcPr>
          <w:p>
            <w:pPr>
              <w:spacing w:after="20"/>
            </w:pPr>
            <w:r/>
            <w:r>
              <w:rPr>
                <w:b w:val="0"/>
                <w:i w:val="0"/>
                <w:sz w:val="20"/>
              </w:rPr>
              <w:t>Individual</w:t>
            </w:r>
          </w:p>
        </w:tc>
      </w:tr>
      <w:tr>
        <w:tc>
          <w:tcPr>
            <w:tcW w:type="dxa" w:w="4535"/>
            <w:vAlign w:val="center"/>
          </w:tcPr>
          <w:p>
            <w:pPr>
              <w:spacing w:after="20"/>
            </w:pPr>
            <w:r/>
            <w:r>
              <w:rPr>
                <w:b w:val="0"/>
                <w:i w:val="0"/>
                <w:sz w:val="20"/>
              </w:rPr>
              <w:t>Documento de planteamiento de reglas de negocio + tabla de mediciones y conversiones + estimación de almacenamiento</w:t>
            </w:r>
          </w:p>
        </w:tc>
        <w:tc>
          <w:tcPr>
            <w:tcW w:type="dxa" w:w="1928"/>
            <w:vAlign w:val="center"/>
          </w:tcPr>
          <w:p>
            <w:pPr>
              <w:spacing w:after="20"/>
            </w:pPr>
            <w:r/>
            <w:r>
              <w:rPr>
                <w:b w:val="0"/>
                <w:i w:val="0"/>
                <w:sz w:val="20"/>
              </w:rPr>
              <w:t>Producto</w:t>
            </w:r>
          </w:p>
        </w:tc>
        <w:tc>
          <w:tcPr>
            <w:tcW w:type="dxa" w:w="3288"/>
            <w:vAlign w:val="center"/>
          </w:tcPr>
          <w:p>
            <w:pPr>
              <w:spacing w:after="20"/>
            </w:pPr>
            <w:r/>
            <w:r>
              <w:rPr>
                <w:b w:val="0"/>
                <w:i w:val="0"/>
                <w:sz w:val="20"/>
              </w:rPr>
              <w:t>Documento del equipo</w:t>
            </w:r>
          </w:p>
        </w:tc>
      </w:tr>
      <w:tr>
        <w:tc>
          <w:tcPr>
            <w:tcW w:type="dxa" w:w="4535"/>
            <w:vAlign w:val="center"/>
            <w:shd w:val="clear" w:color="auto" w:fill="F4F7F9"/>
          </w:tcPr>
          <w:p>
            <w:pPr>
              <w:spacing w:after="20"/>
            </w:pPr>
            <w:r/>
            <w:r>
              <w:rPr>
                <w:b w:val="0"/>
                <w:i w:val="0"/>
                <w:sz w:val="20"/>
              </w:rPr>
              <w:t>Participación en el planteamiento</w:t>
            </w:r>
          </w:p>
        </w:tc>
        <w:tc>
          <w:tcPr>
            <w:tcW w:type="dxa" w:w="1928"/>
            <w:vAlign w:val="center"/>
            <w:shd w:val="clear" w:color="auto" w:fill="F4F7F9"/>
          </w:tcPr>
          <w:p>
            <w:pPr>
              <w:spacing w:after="20"/>
            </w:pPr>
            <w:r/>
            <w:r>
              <w:rPr>
                <w:b w:val="0"/>
                <w:i w:val="0"/>
                <w:sz w:val="20"/>
              </w:rPr>
              <w:t>Desempeño</w:t>
            </w:r>
          </w:p>
        </w:tc>
        <w:tc>
          <w:tcPr>
            <w:tcW w:type="dxa" w:w="3288"/>
            <w:vAlign w:val="center"/>
            <w:shd w:val="clear" w:color="auto" w:fill="F4F7F9"/>
          </w:tcPr>
          <w:p>
            <w:pPr>
              <w:spacing w:after="20"/>
            </w:pPr>
            <w:r/>
            <w:r>
              <w:rPr>
                <w:b w:val="0"/>
                <w:i w:val="0"/>
                <w:sz w:val="20"/>
              </w:rPr>
              <w:t>Observación</w:t>
            </w:r>
          </w:p>
        </w:tc>
      </w:tr>
    </w:tbl>
    <w:p>
      <w:pPr>
        <w:spacing w:after="40"/>
      </w:pPr>
    </w:p>
    <w:p>
      <w:pPr>
        <w:pStyle w:val="Heading1"/>
      </w:pPr>
      <w:r>
        <w:t>5. Recursos y material de apoyo</w:t>
      </w:r>
    </w:p>
    <w:p>
      <w:pPr>
        <w:pStyle w:val="ListBullet"/>
        <w:spacing w:after="40"/>
        <w:jc w:val="both"/>
      </w:pPr>
      <w:r>
        <w:rPr>
          <w:b w:val="0"/>
          <w:i w:val="0"/>
        </w:rPr>
        <w:t>GeoGebra.</w:t>
      </w:r>
    </w:p>
    <w:p>
      <w:pPr>
        <w:pStyle w:val="ListBullet"/>
        <w:spacing w:after="40"/>
        <w:jc w:val="both"/>
      </w:pPr>
      <w:r>
        <w:rPr>
          <w:b w:val="0"/>
          <w:i w:val="0"/>
        </w:rPr>
        <w:t>Hoja de cálculo.</w:t>
      </w:r>
    </w:p>
    <w:p>
      <w:pPr>
        <w:pStyle w:val="ListBullet"/>
        <w:spacing w:after="40"/>
        <w:jc w:val="both"/>
      </w:pPr>
      <w:r>
        <w:rPr>
          <w:b w:val="0"/>
          <w:i w:val="0"/>
        </w:rPr>
        <w:t>Stewart, J. et al. (2017). Precálculo.</w:t>
      </w:r>
    </w:p>
    <w:p>
      <w:pPr>
        <w:pStyle w:val="ListBullet"/>
        <w:spacing w:after="40"/>
        <w:jc w:val="both"/>
      </w:pPr>
      <w:r>
        <w:rPr>
          <w:b w:val="0"/>
          <w:i w:val="0"/>
        </w:rPr>
        <w:t>Baldor, A. (2007). Álgebra.</w:t>
      </w:r>
    </w:p>
    <w:p>
      <w:pPr>
        <w:pStyle w:val="ListBullet"/>
        <w:spacing w:after="40"/>
        <w:jc w:val="both"/>
      </w:pPr>
      <w:r>
        <w:rPr>
          <w:b w:val="0"/>
          <w:i w:val="0"/>
        </w:rPr>
        <w:t>Matriz de interpretación del informe de requisitos y MER del proyecto (sesión 05 técnica).</w:t>
      </w:r>
    </w:p>
    <w:sectPr w:rsidR="00FC693F" w:rsidRPr="0006063C" w:rsidSect="00034616">
      <w:headerReference w:type="default" r:id="rId9"/>
      <w:footerReference w:type="default" r:id="rId10"/>
      <w:pgSz w:w="12240" w:h="15840"/>
      <w:pgMar w:top="1134" w:right="1247" w:bottom="1020" w:left="124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color w:val="5A6B78"/>
        <w:sz w:val="16"/>
      </w:rPr>
      <w:t xml:space="preserve">Guía de aprendizaje GFPI-F-135 – Actividad 2 – ADSO 228118   |   Página </w:t>
    </w:r>
    <w:r>
      <w:rPr>
        <w:color w:val="5A6B78"/>
        <w:sz w:val="16"/>
      </w:rPr>
      <w:fldChar w:fldCharType="begin"/>
      <w:instrText xml:space="preserve">PAGE</w:instrText>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r/>
  </w:p>
  <w:tbl>
    <w:tblPr>
      <w:tblW w:type="auto" w:w="0"/>
      <w:jc w:val="center"/>
      <w:tblLook w:firstColumn="1" w:firstRow="1" w:lastColumn="0" w:lastRow="0" w:noHBand="0" w:noVBand="1" w:val="04A0"/>
    </w:tblPr>
    <w:tblGrid>
      <w:gridCol w:w="4876"/>
      <w:gridCol w:w="4876"/>
    </w:tblGrid>
    <w:tr>
      <w:tc>
        <w:tcPr>
          <w:tcW w:type="dxa" w:w="1134"/>
        </w:tcPr>
        <w:p>
          <w:r>
            <w:drawing>
              <wp:inline xmlns:a="http://schemas.openxmlformats.org/drawingml/2006/main" xmlns:pic="http://schemas.openxmlformats.org/drawingml/2006/picture">
                <wp:extent cx="503999" cy="477036"/>
                <wp:docPr id="1" name="Picture 1"/>
                <wp:cNvGraphicFramePr>
                  <a:graphicFrameLocks noChangeAspect="1"/>
                </wp:cNvGraphicFramePr>
                <a:graphic>
                  <a:graphicData uri="http://schemas.openxmlformats.org/drawingml/2006/picture">
                    <pic:pic>
                      <pic:nvPicPr>
                        <pic:cNvPr id="0" name="logo_green.png"/>
                        <pic:cNvPicPr/>
                      </pic:nvPicPr>
                      <pic:blipFill>
                        <a:blip r:embed="rId1"/>
                        <a:stretch>
                          <a:fillRect/>
                        </a:stretch>
                      </pic:blipFill>
                      <pic:spPr>
                        <a:xfrm>
                          <a:off x="0" y="0"/>
                          <a:ext cx="503999" cy="477036"/>
                        </a:xfrm>
                        <a:prstGeom prst="rect"/>
                      </pic:spPr>
                    </pic:pic>
                  </a:graphicData>
                </a:graphic>
              </wp:inline>
            </w:drawing>
          </w:r>
        </w:p>
      </w:tc>
      <w:tc>
        <w:tcPr>
          <w:tcW w:type="dxa" w:w="8617"/>
          <w:vAlign w:val="center"/>
        </w:tcPr>
        <w:p>
          <w:r>
            <w:rPr>
              <w:b/>
              <w:color w:val="00304D"/>
              <w:sz w:val="18"/>
            </w:rPr>
            <w:t>SERVICIO NACIONAL DE APRENDIZAJE – SENA</w:t>
            <w:br/>
          </w:r>
          <w:r>
            <w:rPr>
              <w:b/>
              <w:color w:val="39A900"/>
              <w:sz w:val="22"/>
            </w:rPr>
            <w:t>GUÍA DE ACTIVIDADES DE LA SESIÓN</w:t>
            <w:br/>
          </w:r>
          <w:r>
            <w:rPr>
              <w:color w:val="5A6B78"/>
              <w:sz w:val="16"/>
            </w:rPr>
            <w:t>ADSO 228118 · Competencia 240201528 · Sesión 03</w:t>
          </w:r>
        </w:p>
      </w:tc>
    </w:tr>
  </w:tbl>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80" w:line="264" w:lineRule="auto"/>
    </w:pPr>
    <w:rPr>
      <w:rFonts w:ascii="Calibri" w:hAnsi="Calibri" w:eastAsia="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200" w:after="80"/>
      <w:outlineLvl w:val="0"/>
    </w:pPr>
    <w:rPr>
      <w:rFonts w:ascii="Calibri" w:hAnsi="Calibri"/>
      <w:b/>
      <w:bCs/>
      <w:color w:val="00304D"/>
      <w:sz w:val="28"/>
      <w:szCs w:val="28"/>
    </w:rPr>
  </w:style>
  <w:style w:type="paragraph" w:styleId="Heading2">
    <w:name w:val="heading 2"/>
    <w:basedOn w:val="Normal"/>
    <w:next w:val="Normal"/>
    <w:link w:val="Heading2Char"/>
    <w:uiPriority w:val="9"/>
    <w:unhideWhenUsed/>
    <w:qFormat/>
    <w:rsid w:val="00FC693F"/>
    <w:pPr>
      <w:keepNext/>
      <w:keepLines/>
      <w:spacing w:before="160" w:after="80"/>
      <w:outlineLvl w:val="1"/>
    </w:pPr>
    <w:rPr>
      <w:rFonts w:ascii="Calibri" w:hAnsi="Calibri"/>
      <w:b/>
      <w:bCs/>
      <w:color w:val="00304D"/>
      <w:sz w:val="24"/>
      <w:szCs w:val="26"/>
    </w:rPr>
  </w:style>
  <w:style w:type="paragraph" w:styleId="Heading3">
    <w:name w:val="heading 3"/>
    <w:basedOn w:val="Normal"/>
    <w:next w:val="Normal"/>
    <w:link w:val="Heading3Char"/>
    <w:uiPriority w:val="9"/>
    <w:unhideWhenUsed/>
    <w:qFormat/>
    <w:rsid w:val="00FC693F"/>
    <w:pPr>
      <w:keepNext/>
      <w:keepLines/>
      <w:spacing w:before="160" w:after="80"/>
      <w:outlineLvl w:val="2"/>
    </w:pPr>
    <w:rPr>
      <w:rFonts w:ascii="Calibri" w:hAnsi="Calibri"/>
      <w:b/>
      <w:bCs/>
      <w:color w:val="39A900"/>
      <w:sz w:val="22"/>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