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Ruta de sesiones de la guía de aprendizaje – Actividad 2</w:t>
      </w:r>
    </w:p>
    <w:p>
      <w:pPr>
        <w:jc w:val="center"/>
      </w:pPr>
      <w:r>
        <w:rPr>
          <w:b/>
          <w:color w:val="39A900"/>
          <w:sz w:val="22"/>
        </w:rPr>
        <w:t>Competencias 220501093 y 240201528 · Fase 1: Análisis</w:t>
      </w:r>
    </w:p>
    <w:p>
      <w:pPr>
        <w:jc w:val="both"/>
      </w:pPr>
      <w:r>
        <w:rPr>
          <w:b w:val="0"/>
          <w:i w:val="0"/>
        </w:rPr>
        <w:t>Esta carpeta contiene los materiales para desarrollar la guía de aprendizaje integrada «GFPI-F-135 Guia Actividad 2 - ADSO 228118». Las sesiones están organizadas por competencia (una carpeta por instructor) y siguen los momentos de la guía: reflexión inicial, contextualización, apropiación y transferencia. Cada carpeta de sesión contiene tres archivos:</w:t>
      </w:r>
    </w:p>
    <w:p>
      <w:pPr>
        <w:pStyle w:val="ListBullet"/>
        <w:spacing w:after="40"/>
        <w:jc w:val="both"/>
      </w:pPr>
      <w:r>
        <w:rPr>
          <w:b/>
          <w:i w:val="0"/>
        </w:rPr>
        <w:t>Presentación (.pptx):</w:t>
      </w:r>
      <w:r>
        <w:rPr>
          <w:b w:val="0"/>
          <w:i w:val="0"/>
        </w:rPr>
        <w:t xml:space="preserve"> insumo del instructor para orientar la sesión; cada diapositiva incluye notas del orador con indicaciones didácticas y respuestas esperadas.</w:t>
      </w:r>
    </w:p>
    <w:p>
      <w:pPr>
        <w:pStyle w:val="ListBullet"/>
        <w:spacing w:after="40"/>
        <w:jc w:val="both"/>
      </w:pPr>
      <w:r>
        <w:rPr>
          <w:b/>
          <w:i w:val="0"/>
        </w:rPr>
        <w:t>Actividades (.docx):</w:t>
      </w:r>
      <w:r>
        <w:rPr>
          <w:b w:val="0"/>
          <w:i w:val="0"/>
        </w:rPr>
        <w:t xml:space="preserve"> guía de la sesión con propósito, secuencia didáctica, enunciados de talleres, casos y plantillas, entregables y recursos.</w:t>
      </w:r>
    </w:p>
    <w:p>
      <w:pPr>
        <w:pStyle w:val="ListBullet"/>
        <w:spacing w:after="40"/>
        <w:jc w:val="both"/>
      </w:pPr>
      <w:r>
        <w:rPr>
          <w:b/>
          <w:i w:val="0"/>
        </w:rPr>
        <w:t>Instrumentos de evaluación (.docx):</w:t>
      </w:r>
      <w:r>
        <w:rPr>
          <w:b w:val="0"/>
          <w:i w:val="0"/>
        </w:rPr>
        <w:t xml:space="preserve"> cuestionarios, listas de verificación, listas de chequeo y rúbricas de las evidencias, con encabezado SENA, juicio de evaluación y clave de respuestas para uso exclusivo del instructor.</w:t>
      </w:r>
    </w:p>
    <w:p>
      <w:pPr>
        <w:pStyle w:val="Heading1"/>
      </w:pPr>
      <w:r>
        <w:t>1. Distribución de horas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948"/>
        <w:gridCol w:w="2381"/>
        <w:gridCol w:w="2608"/>
        <w:gridCol w:w="1814"/>
      </w:tblGrid>
      <w:tr>
        <w:trPr>
          <w:tblHeader w:val="true"/>
        </w:trPr>
        <w:tc>
          <w:tcPr>
            <w:tcW w:type="dxa" w:w="294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Momento de la guía</w:t>
            </w:r>
          </w:p>
        </w:tc>
        <w:tc>
          <w:tcPr>
            <w:tcW w:type="dxa" w:w="238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Instructor técnico (220501093)</w:t>
            </w:r>
          </w:p>
        </w:tc>
        <w:tc>
          <w:tcPr>
            <w:tcW w:type="dxa" w:w="260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Instructor de matemáticas (240201528)</w:t>
            </w:r>
          </w:p>
        </w:tc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Total guía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3.1 Reflexión inicial</w:t>
            </w:r>
          </w:p>
        </w:tc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 h</w:t>
            </w:r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 h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 h</w:t>
            </w:r>
          </w:p>
        </w:tc>
      </w:tr>
      <w:tr>
        <w:tc>
          <w:tcPr>
            <w:tcW w:type="dxa" w:w="294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3.2 Contextualización</w:t>
            </w:r>
          </w:p>
        </w:tc>
        <w:tc>
          <w:tcPr>
            <w:tcW w:type="dxa" w:w="238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 h</w:t>
            </w:r>
          </w:p>
        </w:tc>
        <w:tc>
          <w:tcPr>
            <w:tcW w:type="dxa" w:w="260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 h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8 h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3.3 Apropiación (4 sub actividades)</w:t>
            </w:r>
          </w:p>
        </w:tc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 × 28 h = 112 h</w:t>
            </w:r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 × 5 h = 20 h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132 h</w:t>
            </w:r>
          </w:p>
        </w:tc>
      </w:tr>
      <w:tr>
        <w:tc>
          <w:tcPr>
            <w:tcW w:type="dxa" w:w="294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3.4 Transferencia (4 sub actividades)</w:t>
            </w:r>
          </w:p>
        </w:tc>
        <w:tc>
          <w:tcPr>
            <w:tcW w:type="dxa" w:w="238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 × 42 h = 168 h</w:t>
            </w:r>
          </w:p>
        </w:tc>
        <w:tc>
          <w:tcPr>
            <w:tcW w:type="dxa" w:w="260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 × 6 h = 24 h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192 h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288 h</w:t>
            </w:r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48 h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336 h</w:t>
            </w:r>
          </w:p>
        </w:tc>
      </w:tr>
    </w:tbl>
    <w:p>
      <w:pPr>
        <w:spacing w:after="40"/>
      </w:pPr>
    </w:p>
    <w:p>
      <w:pPr>
        <w:pStyle w:val="Heading1"/>
      </w:pPr>
      <w:r>
        <w:t>2. Sesiones del instructor técnico – Competencia 220501093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494"/>
        <w:gridCol w:w="1814"/>
        <w:gridCol w:w="1020"/>
        <w:gridCol w:w="793"/>
        <w:gridCol w:w="3628"/>
      </w:tblGrid>
      <w:tr>
        <w:trPr>
          <w:tblHeader w:val="true"/>
        </w:trPr>
        <w:tc>
          <w:tcPr>
            <w:tcW w:type="dxa" w:w="249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Sesión</w:t>
            </w:r>
          </w:p>
        </w:tc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102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RAP</w:t>
            </w:r>
          </w:p>
        </w:tc>
        <w:tc>
          <w:tcPr>
            <w:tcW w:type="dxa" w:w="79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Horas</w:t>
            </w:r>
          </w:p>
        </w:tc>
        <w:tc>
          <w:tcPr>
            <w:tcW w:type="dxa" w:w="362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Evidencias e instrumentos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01. Del problema del cliente al análisis del software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3.1 Reflexión inicial y 3.2 Contextualización e identificación de conocimientos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RAP 01–04 (inicio)</w:t>
            </w:r>
          </w:p>
        </w:tc>
        <w:tc>
          <w:tcPr>
            <w:tcW w:type="dxa" w:w="79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8 horas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Cuestionario diagnóstico de saberes previos; Lista de verificación del mapa mental del proceso</w:t>
            </w:r>
          </w:p>
        </w:tc>
      </w:tr>
      <w:tr>
        <w:tc>
          <w:tcPr>
            <w:tcW w:type="dxa" w:w="249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02. Metodologías de desarrollo y planeación del análisis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3.3 apropiación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RAP 01</w:t>
            </w:r>
          </w:p>
        </w:tc>
        <w:tc>
          <w:tcPr>
            <w:tcW w:type="dxa" w:w="79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28 horas</w:t>
            </w:r>
          </w:p>
        </w:tc>
        <w:tc>
          <w:tcPr>
            <w:tcW w:type="dxa" w:w="36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Cuestionario: metodologías de desarrollo de software; Lista de verificación del estudio de caso y del taller de planeación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03. Plan de trabajo del análisis de nuestro proyecto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3.4 transferencia del conocimiento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RAP 01</w:t>
            </w:r>
          </w:p>
        </w:tc>
        <w:tc>
          <w:tcPr>
            <w:tcW w:type="dxa" w:w="79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42 horas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Lista de verificación de desempeño en la planeación del análisis; Lista de chequeo del plan de trabajo del análisis</w:t>
            </w:r>
          </w:p>
        </w:tc>
      </w:tr>
      <w:tr>
        <w:tc>
          <w:tcPr>
            <w:tcW w:type="dxa" w:w="249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04. Modelado de las funciones del software con UML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3.3 apropiación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RAP 02</w:t>
            </w:r>
          </w:p>
        </w:tc>
        <w:tc>
          <w:tcPr>
            <w:tcW w:type="dxa" w:w="79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28 horas</w:t>
            </w:r>
          </w:p>
        </w:tc>
        <w:tc>
          <w:tcPr>
            <w:tcW w:type="dxa" w:w="36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Rúbrica del foro temático «UML: el lenguaje común del equipo»; Lista de verificación del taller «Del requisito al diagrama»; Cuestionario de refuerzo: conceptos de UML y análisis orientado a objetos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05. Modelado de las funciones de nuestro software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3.4 transferencia del conocimiento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RAP 02</w:t>
            </w:r>
          </w:p>
        </w:tc>
        <w:tc>
          <w:tcPr>
            <w:tcW w:type="dxa" w:w="79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42 horas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Lista de verificación de desempeño en el modelado del proyecto; Lista de chequeo de los artefactos de modelado</w:t>
            </w:r>
          </w:p>
        </w:tc>
      </w:tr>
      <w:tr>
        <w:tc>
          <w:tcPr>
            <w:tcW w:type="dxa" w:w="249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06. Lógica proposicional y construcción de algoritmos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3.3 apropiación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RAP 03</w:t>
            </w:r>
          </w:p>
        </w:tc>
        <w:tc>
          <w:tcPr>
            <w:tcW w:type="dxa" w:w="79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28 horas</w:t>
            </w:r>
          </w:p>
        </w:tc>
        <w:tc>
          <w:tcPr>
            <w:tcW w:type="dxa" w:w="36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Taller de lógica proposicional; Lista de verificación de los retos de algoritmos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07. Algoritmos y CRUD de nuestro proyecto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3.4 transferencia del conocimiento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RAP 03</w:t>
            </w:r>
          </w:p>
        </w:tc>
        <w:tc>
          <w:tcPr>
            <w:tcW w:type="dxa" w:w="79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42 horas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Lista de verificación de desempeño en la construcción de algoritmos; Lista de chequeo de algoritmos y CRUD del proyecto</w:t>
            </w:r>
          </w:p>
        </w:tc>
      </w:tr>
      <w:tr>
        <w:tc>
          <w:tcPr>
            <w:tcW w:type="dxa" w:w="249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08. Verificación de los modelos del análisis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3.3 apropiación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RAP 04</w:t>
            </w:r>
          </w:p>
        </w:tc>
        <w:tc>
          <w:tcPr>
            <w:tcW w:type="dxa" w:w="79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28 horas</w:t>
            </w:r>
          </w:p>
        </w:tc>
        <w:tc>
          <w:tcPr>
            <w:tcW w:type="dxa" w:w="36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Rúbrica del mapa conceptual de la verificación; Lista de verificación del estudio de caso «Encuentre los errores»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09. Informe de análisis validado y prototipo inicial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3.4 transferencia del conocimiento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RAP 04</w:t>
            </w:r>
          </w:p>
        </w:tc>
        <w:tc>
          <w:tcPr>
            <w:tcW w:type="dxa" w:w="79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42 horas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Lista de verificación de desempeño en la verificación del análisis; Rúbrica del informe de análisis validado; Lista de verificación de la sustentación del informe de análisis</w:t>
            </w:r>
          </w:p>
        </w:tc>
      </w:tr>
    </w:tbl>
    <w:p>
      <w:pPr>
        <w:spacing w:after="40"/>
      </w:pPr>
    </w:p>
    <w:p>
      <w:pPr>
        <w:pStyle w:val="Heading1"/>
      </w:pPr>
      <w:r>
        <w:t>3. Sesiones del instructor de matemáticas – Competencia 240201528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494"/>
        <w:gridCol w:w="1814"/>
        <w:gridCol w:w="1020"/>
        <w:gridCol w:w="793"/>
        <w:gridCol w:w="3628"/>
      </w:tblGrid>
      <w:tr>
        <w:trPr>
          <w:tblHeader w:val="true"/>
        </w:trPr>
        <w:tc>
          <w:tcPr>
            <w:tcW w:type="dxa" w:w="249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Sesión</w:t>
            </w:r>
          </w:p>
        </w:tc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102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RAP</w:t>
            </w:r>
          </w:p>
        </w:tc>
        <w:tc>
          <w:tcPr>
            <w:tcW w:type="dxa" w:w="79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Horas</w:t>
            </w:r>
          </w:p>
        </w:tc>
        <w:tc>
          <w:tcPr>
            <w:tcW w:type="dxa" w:w="362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Evidencias e instrumentos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01. Las cantidades detrás de un proceso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Reflexión y contextualización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RAP 01–04 (inicio)</w:t>
            </w:r>
          </w:p>
        </w:tc>
        <w:tc>
          <w:tcPr>
            <w:tcW w:type="dxa" w:w="79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4 horas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Cuestionario diagnóstico de matemáticas</w:t>
            </w:r>
          </w:p>
        </w:tc>
      </w:tr>
      <w:tr>
        <w:tc>
          <w:tcPr>
            <w:tcW w:type="dxa" w:w="249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02. Modelos matemáticos de las variables del proceso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Apropiación y transferencia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RAP 01</w:t>
            </w:r>
          </w:p>
        </w:tc>
        <w:tc>
          <w:tcPr>
            <w:tcW w:type="dxa" w:w="79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11 horas</w:t>
            </w:r>
          </w:p>
        </w:tc>
        <w:tc>
          <w:tcPr>
            <w:tcW w:type="dxa" w:w="36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Rúbrica del cuadro resumen de principios matemáticos; Lista de verificación de desempeño: identificación de variables y modelos; Lista de chequeo del cuadro de variables y modelos del proceso; Taller «Las cantidades del proceso» (formativo)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03. Plantear problemas a partir de las reglas del negocio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Apropiación y transferencia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RAP 02</w:t>
            </w:r>
          </w:p>
        </w:tc>
        <w:tc>
          <w:tcPr>
            <w:tcW w:type="dxa" w:w="79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11 horas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Cuestionario: planteamiento de problemas matemáticos; Lista de verificación de desempeño: planteamiento de problemas; Lista de chequeo del documento de planteamiento y de la tabla de mediciones; Taller de planteamiento de problemas (formativo)</w:t>
            </w:r>
          </w:p>
        </w:tc>
      </w:tr>
      <w:tr>
        <w:tc>
          <w:tcPr>
            <w:tcW w:type="dxa" w:w="249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04. Resolver ecuaciones y analizar los datos del proceso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Apropiación y transferencia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RAP 03</w:t>
            </w:r>
          </w:p>
        </w:tc>
        <w:tc>
          <w:tcPr>
            <w:tcW w:type="dxa" w:w="79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11 horas</w:t>
            </w:r>
          </w:p>
        </w:tc>
        <w:tc>
          <w:tcPr>
            <w:tcW w:type="dxa" w:w="36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Cuestionario: resolución de ecuaciones y estadística descriptiva; Lista de verificación de desempeño: resolución y procesamiento de datos; Lista de chequeo del análisis estadístico en hoja de cálculo; Taller de resolución de problemas y estadística (formativo)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05. Verificar resultados y proponer acciones de mejora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Apropiación y transferencia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RAP 04</w:t>
            </w:r>
          </w:p>
        </w:tc>
        <w:tc>
          <w:tcPr>
            <w:tcW w:type="dxa" w:w="79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11 horas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Cuestionario: verificación de resultados y errores de cálculo; Lista de verificación de desempeño: verificación y acciones de mejora; Rúbrica del documento consolidado de razonamiento cuantitativo; Taller «Encuentre el error» (formativo)</w:t>
            </w:r>
          </w:p>
        </w:tc>
      </w:tr>
    </w:tbl>
    <w:p>
      <w:pPr>
        <w:spacing w:after="40"/>
      </w:pPr>
    </w:p>
    <w:p>
      <w:pPr>
        <w:pStyle w:val="Heading1"/>
      </w:pPr>
      <w:r>
        <w:t>4. Articulación entre los dos instructores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381"/>
        <w:gridCol w:w="1247"/>
        <w:gridCol w:w="1360"/>
        <w:gridCol w:w="4762"/>
      </w:tblGrid>
      <w:tr>
        <w:trPr>
          <w:tblHeader w:val="true"/>
        </w:trPr>
        <w:tc>
          <w:tcPr>
            <w:tcW w:type="dxa" w:w="238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Sub actividad de la guía</w:t>
            </w:r>
          </w:p>
        </w:tc>
        <w:tc>
          <w:tcPr>
            <w:tcW w:type="dxa" w:w="124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Sesiones técnicas</w:t>
            </w:r>
          </w:p>
        </w:tc>
        <w:tc>
          <w:tcPr>
            <w:tcW w:type="dxa" w:w="136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Sesión de matemáticas</w:t>
            </w:r>
          </w:p>
        </w:tc>
        <w:tc>
          <w:tcPr>
            <w:tcW w:type="dxa" w:w="476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Punto de encuentro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Inicio (3.1 y 3.2)</w:t>
            </w:r>
          </w:p>
        </w:tc>
        <w:tc>
          <w:tcPr>
            <w:tcW w:type="dxa" w:w="124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01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01</w:t>
            </w:r>
          </w:p>
        </w:tc>
        <w:tc>
          <w:tcPr>
            <w:tcW w:type="dxa" w:w="476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Caso «columpio del árbol» + caso cuantitativo de la unidad productiva; situación problémica común.</w:t>
            </w:r>
          </w:p>
        </w:tc>
      </w:tr>
      <w:tr>
        <w:tc>
          <w:tcPr>
            <w:tcW w:type="dxa" w:w="238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1. Planear el análisis / identificar modelos</w:t>
            </w:r>
          </w:p>
        </w:tc>
        <w:tc>
          <w:tcPr>
            <w:tcW w:type="dxa" w:w="124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02 y 03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02</w:t>
            </w:r>
          </w:p>
        </w:tc>
        <w:tc>
          <w:tcPr>
            <w:tcW w:type="dxa" w:w="476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Estimación de tiempos del plan de trabajo con regla de tres; cuadro de variables del proceso.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2. Modelar funciones / plantear problemas</w:t>
            </w:r>
          </w:p>
        </w:tc>
        <w:tc>
          <w:tcPr>
            <w:tcW w:type="dxa" w:w="124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04 y 05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03</w:t>
            </w:r>
          </w:p>
        </w:tc>
        <w:tc>
          <w:tcPr>
            <w:tcW w:type="dxa" w:w="476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La columna «regla de negocio» de la matriz de interpretación se plantea como ecuación; estimación de almacenamiento del MER.</w:t>
            </w:r>
          </w:p>
        </w:tc>
      </w:tr>
      <w:tr>
        <w:tc>
          <w:tcPr>
            <w:tcW w:type="dxa" w:w="238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3. Algoritmos / resolver problemas</w:t>
            </w:r>
          </w:p>
        </w:tc>
        <w:tc>
          <w:tcPr>
            <w:tcW w:type="dxa" w:w="124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06 y 07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04</w:t>
            </w:r>
          </w:p>
        </w:tc>
        <w:tc>
          <w:tcPr>
            <w:tcW w:type="dxa" w:w="476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Las ecuaciones y la estadística se resuelven a mano, en hoja de cálculo y en PSeInt/Python; el reporte del CRUD se compara con el análisis estadístico.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4. Verificar modelos / acciones de mejora</w:t>
            </w:r>
          </w:p>
        </w:tc>
        <w:tc>
          <w:tcPr>
            <w:tcW w:type="dxa" w:w="124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08 y 09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05</w:t>
            </w:r>
          </w:p>
        </w:tc>
        <w:tc>
          <w:tcPr>
            <w:tcW w:type="dxa" w:w="476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Los errores de cálculo del informe de ejemplo y del proyecto se verifican en matemáticas; el documento de razonamiento cuantitativo es la sección 5 del informe de análisis, sustentado ante ambos instructores.</w:t>
            </w:r>
          </w:p>
        </w:tc>
      </w:tr>
    </w:tbl>
    <w:p>
      <w:pPr>
        <w:spacing w:after="40"/>
      </w:pPr>
    </w:p>
    <w:p>
      <w:pPr>
        <w:pStyle w:val="Heading1"/>
      </w:pPr>
      <w:r>
        <w:t>5. Recomendaciones de uso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Las evidencias de conocimiento se aplican en la apropiación; las de desempeño y producto, en la transferencia, tal como lo establece la guía.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Los indicadores marcados con ★ en las listas son esenciales: si no se cumplen, la evidencia no se aprueba.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Toda evidencia con juicio «No aprobado» requiere un plan de mejoramiento registrado en el instrumento.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El caso «Agrosur» (tienda de insumos agropecuarios) es el ejemplo común de las dos competencias; puede reemplazarse por un caso del entorno del centro manteniendo los mismos ejercicios.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El archivo «Datos de ventas Agrosur.xlsx» (sesión 04 de matemáticas) contiene los datos del taller de estadística y celdas para que los aprendices completen con funciones.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ÍNDICE DE SESIONES Y MATERIALES</w:t>
            <w:br/>
          </w:r>
          <w:r>
            <w:rPr>
              <w:color w:val="5A6B78"/>
              <w:sz w:val="16"/>
            </w:rPr>
            <w:t>ADSO 228118 · Actividad de aprendizaje 2 · Índice de sesiones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