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Marketing Campaign Optimization</w:t>
      </w:r>
    </w:p>
    <w:p>
      <w:r>
        <w:t>Assignment 1: Data Mining Solutions for Direct Marketing Campaigns</w:t>
      </w:r>
    </w:p>
    <w:p/>
    <w:p>
      <w:r>
        <w:t>Course: CIS051-3 Business Analytics</w:t>
      </w:r>
    </w:p>
    <w:p/>
    <w:p/>
    <w:p/>
    <w:p>
      <w:pPr>
        <w:pStyle w:val="Heading1"/>
      </w:pPr>
      <w:r>
        <w:t>1. Introduction</w:t>
      </w:r>
    </w:p>
    <w:p/>
    <w:p>
      <w:r>
        <w:t>Direct marketing represents a critical strategic activity for banks and financial institutions seeking to optimize customer acquisition and product adoption. However, traditional mass-marketing approaches often result in inefficient resource allocation, with significant proportions of contacted customers declining offered products. This inefficiency manifests as wasted operational costs (agent time, telecommunications expenses) and missed revenue opportunities. Predictive analytics, particularly classification-based data mining techniques, offers a systematic approach to this challenge by enabling data-driven customer targeting that minimizes both false positive (unnecessary contact) and false negative (missed customer) prediction errors.</w:t>
      </w:r>
    </w:p>
    <w:p/>
    <w:p>
      <w:r>
        <w:t>This report analyzes the Bank Marketing Dataset from the UCI Machine Learning Repository (Moro et al., 2014), comprising 41,188 records from telemarketing campaigns conducted by a Portuguese banking institution between 2008 and 2013. Each record represents a customer contact attempt, documenting socio-demographic characteristics (age, job, education, marital status), campaign-specific information (contact type, timing, frequency), previous campaign history, and macroeconomic context indicators (employment rate, consumer confidence, interest rates). The target variable indicates whether the customer subscribed to a term deposit product, with responses distributed as approximately 11.3% acceptances and 88.7% rejections—representing a severe class imbalance characteristic of real-world marketing scenarios.</w:t>
      </w:r>
    </w:p>
    <w:p/>
    <w:p>
      <w:r>
        <w:t>Machine learning applications in marketing prediction have demonstrated substantial value in prior research (Ferreira et al., 2015; Han et al., 2011). This study employs two complementary algorithms: Decision Trees (entropy criterion) offer transparent decision rules and feature importance rankings valuable for business interpretation, while Logistic Regression provides well-calibrated probabilistic predictions suitable for threshold optimization and cost-sensitive decision-making. Both approaches address the central business objective: minimizing campaign cost through improved targeting accuracy.</w:t>
      </w:r>
    </w:p>
    <w:p/>
    <w:p>
      <w:r>
        <w:t>The primary objective is to construct, evaluate, and optimize predictive models capable of reducing direct marketing campaign costs by accurately identifying high-probability acceptance customers while minimizing contact with likely rejectors. This requires balancing precision (avoiding false positives) and recall (avoiding false negatives) within a business-driven cost framework. Secondary objectives include extracting actionable insights regarding customer characteristics and timing factors that influence campaign success, and demonstrating competitive performance relative to established benchmarks.</w:t>
      </w:r>
    </w:p>
    <w:p/>
    <w:p/>
    <w:p/>
    <w:p>
      <w:pPr>
        <w:pStyle w:val="Heading1"/>
      </w:pPr>
      <w:r>
        <w:t>2. Designing a Solution</w:t>
      </w:r>
    </w:p>
    <w:p/>
    <w:p>
      <w:pPr>
        <w:pStyle w:val="Heading2"/>
      </w:pPr>
      <w:r>
        <w:t>2.1 Exploratory Data Analysis</w:t>
      </w:r>
    </w:p>
    <w:p/>
    <w:p>
      <w:r>
        <w:t>The initial dataset comprised 20 input features categorized as: 10 categorical variables (job type, marital status, education level, default status, housing loan, personal loan, contact method, month, day of week, previous campaign outcome), 8 numerical variables (age, campaign contacts, previous campaign contacts, days since last contact, call duration), and 2 macroeconomic indicators (employment variation rate, consumer price index, consumer confidence index, Euribor 3-month rate, number of employees). Analysis of the target variable confirmed severe class imbalance with 11.3% positive responses (subscribed = "yes") versus 88.7% negative responses (rejected = "no"), establishing the need for specialized handling strategies.</w:t>
      </w:r>
    </w:p>
    <w:p/>
    <w:p>
      <w:r>
        <w:t>Numerical Feature Patterns: Age distribution exhibited a right skew with mean age of 40.0 years, ranging from 17 to 98 years. The campaign variable (number of contacts during current campaign) showed strong right skewness (median=2, mean=2.57, max=56), suggesting logarithmic transformation benefits. Similarly, previous (contacts from prior campaigns) displayed extreme skewness with 86.4% of records having zero prior contacts. The pdays variable (days since last contact) exhibited a bimodal distribution with 96.4% coded as 999 (indicator for "never previously contacted"), motivating binary feature engineering.</w:t>
      </w:r>
    </w:p>
    <w:p/>
    <w:p>
      <w:r>
        <w:drawing>
          <wp:inline xmlns:a="http://schemas.openxmlformats.org/drawingml/2006/main" xmlns:pic="http://schemas.openxmlformats.org/drawingml/2006/picture">
            <wp:extent cx="5486400" cy="4095123"/>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486400" cy="4095123"/>
                    </a:xfrm>
                    <a:prstGeom prst="rect"/>
                  </pic:spPr>
                </pic:pic>
              </a:graphicData>
            </a:graphic>
          </wp:inline>
        </w:drawing>
      </w:r>
    </w:p>
    <w:p>
      <w:pPr>
        <w:jc w:val="center"/>
      </w:pPr>
      <w:r>
        <w:rPr>
          <w:i/>
          <w:sz w:val="20"/>
        </w:rPr>
        <w:t>Class Distribution</w:t>
      </w:r>
    </w:p>
    <w:p>
      <w:r>
        <w:t>Figure 1: Target variable distribution showing severe class imbalance (88.7% rejection vs 11.3% acceptance)</w:t>
      </w:r>
    </w:p>
    <w:p/>
    <w:p>
      <w:r>
        <w:t>Macroeconomic Indicators: Economic context variables demonstrated temporal clustering, with employment rate (nr.employed) values concentrating around 5,099 and 5,191 employees, reflecting distinct economic periods. The Euribor 3-month rate (euribor3m) and consumer price index (cons.price.idx) exhibited moderate positive correlation (r=0.69), while consumer confidence index (cons.conf.idx) showed negative correlation with employment variation rate (r=-0.78). These patterns suggest macroeconomic conditions substantially influence campaign outcomes.</w:t>
      </w:r>
    </w:p>
    <w:p/>
    <w:p>
      <w:r>
        <w:drawing>
          <wp:inline xmlns:a="http://schemas.openxmlformats.org/drawingml/2006/main" xmlns:pic="http://schemas.openxmlformats.org/drawingml/2006/picture">
            <wp:extent cx="5486400" cy="3394645"/>
            <wp:docPr id="2" name="Picture 2"/>
            <wp:cNvGraphicFramePr>
              <a:graphicFrameLocks noChangeAspect="1"/>
            </wp:cNvGraphicFramePr>
            <a:graphic>
              <a:graphicData uri="http://schemas.openxmlformats.org/drawingml/2006/picture">
                <pic:pic>
                  <pic:nvPicPr>
                    <pic:cNvPr id="0" name="05_economic_indicators.png"/>
                    <pic:cNvPicPr/>
                  </pic:nvPicPr>
                  <pic:blipFill>
                    <a:blip r:embed="rId10"/>
                    <a:stretch>
                      <a:fillRect/>
                    </a:stretch>
                  </pic:blipFill>
                  <pic:spPr>
                    <a:xfrm>
                      <a:off x="0" y="0"/>
                      <a:ext cx="5486400" cy="3394645"/>
                    </a:xfrm>
                    <a:prstGeom prst="rect"/>
                  </pic:spPr>
                </pic:pic>
              </a:graphicData>
            </a:graphic>
          </wp:inline>
        </w:drawing>
      </w:r>
    </w:p>
    <w:p>
      <w:pPr>
        <w:jc w:val="center"/>
      </w:pPr>
      <w:r>
        <w:rPr>
          <w:i/>
          <w:sz w:val="20"/>
        </w:rPr>
        <w:t>Economic Indicators</w:t>
      </w:r>
    </w:p>
    <w:p>
      <w:r>
        <w:t>Figure 2: Economic indicator distributions showing temporal clustering by campaign success</w:t>
      </w:r>
    </w:p>
    <w:p/>
    <w:p>
      <w:r>
        <w:t>Categorical Variable Insights: Job type analysis revealed retired individuals (16.5% acceptance rate) and students (31.4%) exhibited higher-than-average response rates, while blue-collar workers (7.3%) showed below-average acceptance. Marital status demonstrated minimal differential impact. Month-wise analysis identified May, March, October, and September as peak contact months, with March achieving notably higher success rates. Previous campaign outcome (poutcome) emerged as a strong predictor: customers with previous campaign success showed 64.8% acceptance rates compared to 11.1% for those with previous failures and 4.5% for never-contacted customers.</w:t>
      </w:r>
    </w:p>
    <w:p/>
    <w:p>
      <w:r>
        <w:drawing>
          <wp:inline xmlns:a="http://schemas.openxmlformats.org/drawingml/2006/main" xmlns:pic="http://schemas.openxmlformats.org/drawingml/2006/picture">
            <wp:extent cx="5486400" cy="2717074"/>
            <wp:docPr id="3" name="Picture 3"/>
            <wp:cNvGraphicFramePr>
              <a:graphicFrameLocks noChangeAspect="1"/>
            </wp:cNvGraphicFramePr>
            <a:graphic>
              <a:graphicData uri="http://schemas.openxmlformats.org/drawingml/2006/picture">
                <pic:pic>
                  <pic:nvPicPr>
                    <pic:cNvPr id="0" name="07_month_seasonality.png"/>
                    <pic:cNvPicPr/>
                  </pic:nvPicPr>
                  <pic:blipFill>
                    <a:blip r:embed="rId11"/>
                    <a:stretch>
                      <a:fillRect/>
                    </a:stretch>
                  </pic:blipFill>
                  <pic:spPr>
                    <a:xfrm>
                      <a:off x="0" y="0"/>
                      <a:ext cx="5486400" cy="2717074"/>
                    </a:xfrm>
                    <a:prstGeom prst="rect"/>
                  </pic:spPr>
                </pic:pic>
              </a:graphicData>
            </a:graphic>
          </wp:inline>
        </w:drawing>
      </w:r>
    </w:p>
    <w:p>
      <w:pPr>
        <w:jc w:val="center"/>
      </w:pPr>
      <w:r>
        <w:rPr>
          <w:i/>
          <w:sz w:val="20"/>
        </w:rPr>
        <w:t>Month Seasonality</w:t>
      </w:r>
    </w:p>
    <w:p>
      <w:r>
        <w:t>Figure 3: Campaign contact volume and success rates by month showing seasonal patterns</w:t>
      </w:r>
    </w:p>
    <w:p/>
    <w:p>
      <w:r>
        <w:drawing>
          <wp:inline xmlns:a="http://schemas.openxmlformats.org/drawingml/2006/main" xmlns:pic="http://schemas.openxmlformats.org/drawingml/2006/picture">
            <wp:extent cx="5486400" cy="3263780"/>
            <wp:docPr id="4" name="Picture 4"/>
            <wp:cNvGraphicFramePr>
              <a:graphicFrameLocks noChangeAspect="1"/>
            </wp:cNvGraphicFramePr>
            <a:graphic>
              <a:graphicData uri="http://schemas.openxmlformats.org/drawingml/2006/picture">
                <pic:pic>
                  <pic:nvPicPr>
                    <pic:cNvPr id="0" name="08_poutcome_impact.png"/>
                    <pic:cNvPicPr/>
                  </pic:nvPicPr>
                  <pic:blipFill>
                    <a:blip r:embed="rId12"/>
                    <a:stretch>
                      <a:fillRect/>
                    </a:stretch>
                  </pic:blipFill>
                  <pic:spPr>
                    <a:xfrm>
                      <a:off x="0" y="0"/>
                      <a:ext cx="5486400" cy="3263780"/>
                    </a:xfrm>
                    <a:prstGeom prst="rect"/>
                  </pic:spPr>
                </pic:pic>
              </a:graphicData>
            </a:graphic>
          </wp:inline>
        </w:drawing>
      </w:r>
    </w:p>
    <w:p>
      <w:pPr>
        <w:jc w:val="center"/>
      </w:pPr>
      <w:r>
        <w:rPr>
          <w:i/>
          <w:sz w:val="20"/>
        </w:rPr>
        <w:t>Previous Outcome Impact</w:t>
      </w:r>
    </w:p>
    <w:p>
      <w:r>
        <w:t>Figure 4: Current campaign response rates strongly influenced by previous campaign outcomes</w:t>
      </w:r>
    </w:p>
    <w:p/>
    <w:p>
      <w:r>
        <w:t>Duration Variable Analysis: Call duration exhibited strong positive correlation with campaign success (Pearson r=0.41, p&lt;0.001), with mean duration for acceptances (553 seconds) substantially exceeding rejections (222 seconds). Acceptance rates increased monotonically with duration: 0-2 minutes (5.1%), 2-5 minutes (12.8%), 5-10 minutes (39.2%), exceeding 10 minutes (71.4%). However, this variable represents data leakage: duration is only observable after call completion, rendering it unavailable for pre-contact prediction—the operational use case. Including duration would yield artificially inflated performance metrics unsuitable for deployment. Consequently, duration is excluded from all predictive models despite its descriptive value in understanding successful interactions.</w:t>
      </w:r>
    </w:p>
    <w:p/>
    <w:p>
      <w:r>
        <w:drawing>
          <wp:inline xmlns:a="http://schemas.openxmlformats.org/drawingml/2006/main" xmlns:pic="http://schemas.openxmlformats.org/drawingml/2006/picture">
            <wp:extent cx="5486400" cy="3263334"/>
            <wp:docPr id="5" name="Picture 5"/>
            <wp:cNvGraphicFramePr>
              <a:graphicFrameLocks noChangeAspect="1"/>
            </wp:cNvGraphicFramePr>
            <a:graphic>
              <a:graphicData uri="http://schemas.openxmlformats.org/drawingml/2006/picture">
                <pic:pic>
                  <pic:nvPicPr>
                    <pic:cNvPr id="0" name="12_duration_leakage_analysis.png"/>
                    <pic:cNvPicPr/>
                  </pic:nvPicPr>
                  <pic:blipFill>
                    <a:blip r:embed="rId13"/>
                    <a:stretch>
                      <a:fillRect/>
                    </a:stretch>
                  </pic:blipFill>
                  <pic:spPr>
                    <a:xfrm>
                      <a:off x="0" y="0"/>
                      <a:ext cx="5486400" cy="3263334"/>
                    </a:xfrm>
                    <a:prstGeom prst="rect"/>
                  </pic:spPr>
                </pic:pic>
              </a:graphicData>
            </a:graphic>
          </wp:inline>
        </w:drawing>
      </w:r>
    </w:p>
    <w:p>
      <w:pPr>
        <w:jc w:val="center"/>
      </w:pPr>
      <w:r>
        <w:rPr>
          <w:i/>
          <w:sz w:val="20"/>
        </w:rPr>
        <w:t>Duration Leakage Analysis</w:t>
      </w:r>
    </w:p>
    <w:p>
      <w:r>
        <w:t>Figure 5: Call duration shows strong correlation with success but represents data leakage</w:t>
      </w:r>
    </w:p>
    <w:p/>
    <w:p>
      <w:r>
        <w:t>Correlation Analysis: Numerical feature correlation matrix revealed high multicollinearity among macroeconomic indicators (employment rate, Euribor rate, consumer price index: r&gt;0.85), suggesting potential redundancy. Campaign frequency variables (campaign, previous) showed minimal intercorrelation (r=0.03), indicating independence. Age demonstrated weak correlation with target variable (r=-0.03), suggesting limited individual predictive power but potential interaction effects.</w:t>
      </w:r>
    </w:p>
    <w:p/>
    <w:p>
      <w:r>
        <w:drawing>
          <wp:inline xmlns:a="http://schemas.openxmlformats.org/drawingml/2006/main" xmlns:pic="http://schemas.openxmlformats.org/drawingml/2006/picture">
            <wp:extent cx="5486400" cy="4988851"/>
            <wp:docPr id="6" name="Picture 6"/>
            <wp:cNvGraphicFramePr>
              <a:graphicFrameLocks noChangeAspect="1"/>
            </wp:cNvGraphicFramePr>
            <a:graphic>
              <a:graphicData uri="http://schemas.openxmlformats.org/drawingml/2006/picture">
                <pic:pic>
                  <pic:nvPicPr>
                    <pic:cNvPr id="0" name="10_correlation_heatmap.png"/>
                    <pic:cNvPicPr/>
                  </pic:nvPicPr>
                  <pic:blipFill>
                    <a:blip r:embed="rId14"/>
                    <a:stretch>
                      <a:fillRect/>
                    </a:stretch>
                  </pic:blipFill>
                  <pic:spPr>
                    <a:xfrm>
                      <a:off x="0" y="0"/>
                      <a:ext cx="5486400" cy="4988851"/>
                    </a:xfrm>
                    <a:prstGeom prst="rect"/>
                  </pic:spPr>
                </pic:pic>
              </a:graphicData>
            </a:graphic>
          </wp:inline>
        </w:drawing>
      </w:r>
    </w:p>
    <w:p>
      <w:pPr>
        <w:jc w:val="center"/>
      </w:pPr>
      <w:r>
        <w:rPr>
          <w:i/>
          <w:sz w:val="20"/>
        </w:rPr>
        <w:t>Correlation Heatmap</w:t>
      </w:r>
    </w:p>
    <w:p>
      <w:r>
        <w:t>Figure 6: Correlation matrix revealing high multicollinearity among economic indicators</w:t>
      </w:r>
    </w:p>
    <w:p/>
    <w:p>
      <w:pPr>
        <w:pStyle w:val="Heading2"/>
      </w:pPr>
      <w:r>
        <w:t>2.2 Data Cleaning and Preprocessing</w:t>
      </w:r>
    </w:p>
    <w:p/>
    <w:p>
      <w:r>
        <w:t>Missing Value Treatment: Initial inspection identified "unknown" string values across categorical features: default status (20.3% unknown), education (4.3%), housing loan (2.5%), and job type (0.8%). These values were converted to NaN and addressed through systematic imputation. Numerical features employed mean imputation via scikit-learn's SimpleImputer (strategy='mean'), maintaining distribution central tendency while preserving sample size. Categorical features utilized mode imputation (strategy='most_frequent'), assigning the most common category value. This approach balances simplicity, interpretability, and effectiveness for the observed missing data patterns. Alternative strategies considered but not implemented included: complete case deletion (would reduce dataset to 26,677 records, eliminating 35% of data), multiple imputation via chained equations (excessive complexity for marginal benefit given missing data mechanisms), and missing indicator methods (would substantially increase dimensionality).</w:t>
      </w:r>
    </w:p>
    <w:p/>
    <w:p>
      <w:r>
        <w:t>Feature Engineering: Transformation decisions were guided by EDA findings and domain knowledge:</w:t>
      </w:r>
    </w:p>
    <w:p/>
    <w:p>
      <w:pPr>
        <w:pStyle w:val="ListNumber"/>
      </w:pPr>
      <w:r>
        <w:t>Duration Exclusion: The `duration` variable was dropped entirely due to data leakage, as explained in Section 2.1. This decision sacrifices potential model performance for operational realism.</w:t>
      </w:r>
    </w:p>
    <w:p/>
    <w:p>
      <w:pPr>
        <w:pStyle w:val="ListNumber"/>
      </w:pPr>
      <w:r>
        <w:t>Binary Contact History: Created `was_contacted_before` as a binary indicator (1 if `pdays` ≠ 999, else 0), converting the heavily right-skewed `pdays` distribution into an interpretable indicator distinguishing warm leads (previously contacted) from cold prospects.</w:t>
      </w:r>
    </w:p>
    <w:p/>
    <w:p>
      <w:pPr>
        <w:pStyle w:val="ListNumber"/>
      </w:pPr>
      <w:r>
        <w:t>Log Transformations: Applied `campaign_log = log(campaign + 1)` and `previous_log = log(previous + 1)` to address extreme right skewness in contact frequency variables, improving distribution normality for linear modeling while retaining zero-value information through the +1 offset.</w:t>
      </w:r>
    </w:p>
    <w:p/>
    <w:p>
      <w:r>
        <w:t>These engineered features increased the initial feature count from 20 to 22 variables before encoding.</w:t>
      </w:r>
    </w:p>
    <w:p/>
    <w:p>
      <w:r>
        <w:t>Encoding and Scaling: Categorical variables underwent one-hot encoding using pandas get_dummies with drop_first=True to avoid multicollinearity traps. The handle_unknown='ignore' strategy ensured robustness to unseen categories in test data, assigning zero values to new categorical levels. This approach is appropriate for nominal categories lacking ordinal relationships. Post-encoding feature space expanded to 49 features.</w:t>
      </w:r>
    </w:p>
    <w:p/>
    <w:p>
      <w:r>
        <w:t>Numerical features received standardization via scikit-learn's StandardScaler, applying z-score normalization (mean=0, standard deviation=1). Standardization is essential for Logistic Regression (distance-based algorithm sensitive to scale) and beneficial for Decision Trees (accelerates splitting computations). Scaling was fit exclusively on training data and applied to test data to prevent information leakage.</w:t>
      </w:r>
    </w:p>
    <w:p/>
    <w:p>
      <w:r>
        <w:t>Data Partitioning: The dataset was partitioned into 75% training (30,891 samples) and 25% testing (10,297 samples) using stratified random sampling (stratify=y). Stratification ensures identical class distribution in both subsets (train: 11.3% positive; test: 11.3% positive), critical for reliable performance estimation on imbalanced data. Random seed (random_state=42) guarantees reproducibility.</w:t>
      </w:r>
    </w:p>
    <w:p/>
    <w:p>
      <w:r>
        <w:t>Class Imbalance Mitigation: Both models employed class_weight='balanced', automatically computing inverse-frequency weights (weight_class_0 = n_samples / (n_classes * n_samples_class_0)) that penalize majority class errors proportionally to underrepresentation, encouraging models to prioritize minority class detection.</w:t>
      </w:r>
    </w:p>
    <w:p/>
    <w:p>
      <w:pPr>
        <w:pStyle w:val="Heading2"/>
      </w:pPr>
      <w:r>
        <w:t>2.3 Modeling Approach</w:t>
      </w:r>
    </w:p>
    <w:p/>
    <w:p>
      <w:r>
        <w:t>Algorithm Selection:</w:t>
      </w:r>
    </w:p>
    <w:p/>
    <w:p>
      <w:r>
        <w:t>Decision Tree (Entropy Criterion): Selected for its high interpretability through visual decision rule extraction, automatic feature interaction detection, handling of non-linear relationships without manual transformation, and direct feature importance quantification. The entropy criterion (information gain splitting) was chosen over Gini impurity for its information-theoretic foundation and slight preference for balanced splits. Decision Trees require no feature scaling and naturally handle mixed data types, making them suitable for diverse feature sets.</w:t>
      </w:r>
    </w:p>
    <w:p/>
    <w:p>
      <w:r>
        <w:t>Logistic Regression: Chosen as a complementary approach providing probabilistic predictions (well-calibrated probability estimates), smooth decision boundaries (better generalization), and computational efficiency. Logistic Regression serves as an industry-standard baseline for binary classification, offering interpretable coefficients as log-odds ratios and supporting threshold optimization through predicted probabilities.</w:t>
      </w:r>
    </w:p>
    <w:p/>
    <w:p>
      <w:r>
        <w:t>Evaluation Framework: Performance assessment employed a comprehensive metric suite addressing different aspects of classification quality:</w:t>
      </w:r>
    </w:p>
    <w:p/>
    <w:p>
      <w:pPr>
        <w:pStyle w:val="ListBullet"/>
      </w:pPr>
      <w:r>
        <w:t>Accuracy: Overall correctness ((TP+TN)/(TP+TN+FP+FN)). While commonly reported, accuracy is potentially misleading for imbalanced data (predicting all negatives achieves 88.7% accuracy).</w:t>
      </w:r>
    </w:p>
    <w:p/>
    <w:p>
      <w:pPr>
        <w:pStyle w:val="ListBullet"/>
      </w:pPr>
      <w:r>
        <w:t>Precision: Positive predictive value (TP/(TP+FP)), quantifying the proportion of positive predictions that are correct. High precision minimizes false alarms (unnecessary customer contacts).</w:t>
      </w:r>
    </w:p>
    <w:p/>
    <w:p>
      <w:pPr>
        <w:pStyle w:val="ListBullet"/>
      </w:pPr>
      <w:r>
        <w:t>Recall (Sensitivity): True positive rate (TP/(TP+FN)), measuring the proportion of actual positives correctly identified. High recall is prioritized as the business objective emphasizes capturing potential customers (minimizing false negatives).</w:t>
      </w:r>
    </w:p>
    <w:p/>
    <w:p>
      <w:pPr>
        <w:pStyle w:val="ListBullet"/>
      </w:pPr>
      <w:r>
        <w:t>F1-Score: Harmonic mean of precision and recall (2(PR)/(P+R)), providing a balanced metric when both are important.</w:t>
      </w:r>
    </w:p>
    <w:p/>
    <w:p>
      <w:pPr>
        <w:pStyle w:val="ListBullet"/>
      </w:pPr>
      <w:r>
        <w:t>ROC-AUC: Area under the Receiver Operating Characteristic curve, quantifying discriminative ability across all classification thresholds. ROC-AUC is threshold-independent and robust to class imbalance.</w:t>
      </w:r>
    </w:p>
    <w:p/>
    <w:p>
      <w:r>
        <w:t>Optimization Strategy proceeded in three stages: (1) Baseline models with default hyperparameters and balanced class weights established initial performance benchmarks; (2) GridSearchCV with 5-fold stratified cross-validation systematically explored hyperparameter spaces, optimizing for ROC-AUC to identify configurations balancing discrimination ability across thresholds; (3) Cost-sensitive threshold optimization fine-tuned decision boundaries using business-defined cost matrices, minimizing expected campaign cost per customer contact.</w:t>
      </w:r>
    </w:p>
    <w:p/>
    <w:p/>
    <w:p/>
    <w:p>
      <w:pPr>
        <w:pStyle w:val="Heading1"/>
      </w:pPr>
      <w:r>
        <w:t>3. Experiments</w:t>
      </w:r>
    </w:p>
    <w:p/>
    <w:p>
      <w:pPr>
        <w:pStyle w:val="Heading2"/>
      </w:pPr>
      <w:r>
        <w:t>3.1 Baseline Models</w:t>
      </w:r>
    </w:p>
    <w:p/>
    <w:p>
      <w:r>
        <w:t>Decision Tree Baseline Configuration: Default parameters except criterion='entropy' and class_weight='balanced'. This configuration produced the following test set performance:</w:t>
      </w:r>
    </w:p>
    <w:p/>
    <w:p>
      <w:pPr>
        <w:pStyle w:val="ListBullet"/>
      </w:pPr>
      <w:r>
        <w:t>Accuracy: 0.8425</w:t>
      </w:r>
    </w:p>
    <w:p>
      <w:pPr>
        <w:pStyle w:val="ListBullet"/>
      </w:pPr>
      <w:r>
        <w:t>Precision: 0.4167</w:t>
      </w:r>
    </w:p>
    <w:p>
      <w:pPr>
        <w:pStyle w:val="ListBullet"/>
      </w:pPr>
      <w:r>
        <w:t>Recall: 0.3328 (only 33% of actual acceptances detected)</w:t>
      </w:r>
    </w:p>
    <w:p>
      <w:pPr>
        <w:pStyle w:val="ListBullet"/>
      </w:pPr>
      <w:r>
        <w:t>F1-Score: 0.3705</w:t>
      </w:r>
    </w:p>
    <w:p>
      <w:pPr>
        <w:pStyle w:val="ListBullet"/>
      </w:pPr>
      <w:r>
        <w:t>ROC-AUC: 0.7627</w:t>
      </w:r>
    </w:p>
    <w:p/>
    <w:p>
      <w:r>
        <w:t>Logistic Regression Baseline Configuration: Default parameters with class_weight='balanced', L2 regularization (C=1.0), and LBFGS solver. Performance metrics:</w:t>
      </w:r>
    </w:p>
    <w:p/>
    <w:p>
      <w:pPr>
        <w:pStyle w:val="ListBullet"/>
      </w:pPr>
      <w:r>
        <w:t>Accuracy: 0.8346</w:t>
      </w:r>
    </w:p>
    <w:p>
      <w:pPr>
        <w:pStyle w:val="ListBullet"/>
      </w:pPr>
      <w:r>
        <w:t>Precision: 0.3662</w:t>
      </w:r>
    </w:p>
    <w:p>
      <w:pPr>
        <w:pStyle w:val="ListBullet"/>
      </w:pPr>
      <w:r>
        <w:t>Recall: 0.6440 (64% capture rate)</w:t>
      </w:r>
    </w:p>
    <w:p>
      <w:pPr>
        <w:pStyle w:val="ListBullet"/>
      </w:pPr>
      <w:r>
        <w:t>F1-Score: 0.4678</w:t>
      </w:r>
    </w:p>
    <w:p>
      <w:pPr>
        <w:pStyle w:val="ListBullet"/>
      </w:pPr>
      <w:r>
        <w:t>ROC-AUC: 0.8038</w:t>
      </w:r>
    </w:p>
    <w:p/>
    <w:p>
      <w:r>
        <w:drawing>
          <wp:inline xmlns:a="http://schemas.openxmlformats.org/drawingml/2006/main" xmlns:pic="http://schemas.openxmlformats.org/drawingml/2006/picture">
            <wp:extent cx="5486400" cy="2429153"/>
            <wp:docPr id="7" name="Picture 7"/>
            <wp:cNvGraphicFramePr>
              <a:graphicFrameLocks noChangeAspect="1"/>
            </wp:cNvGraphicFramePr>
            <a:graphic>
              <a:graphicData uri="http://schemas.openxmlformats.org/drawingml/2006/picture">
                <pic:pic>
                  <pic:nvPicPr>
                    <pic:cNvPr id="0" name="13_baseline_confusion_matrices.png"/>
                    <pic:cNvPicPr/>
                  </pic:nvPicPr>
                  <pic:blipFill>
                    <a:blip r:embed="rId15"/>
                    <a:stretch>
                      <a:fillRect/>
                    </a:stretch>
                  </pic:blipFill>
                  <pic:spPr>
                    <a:xfrm>
                      <a:off x="0" y="0"/>
                      <a:ext cx="5486400" cy="2429153"/>
                    </a:xfrm>
                    <a:prstGeom prst="rect"/>
                  </pic:spPr>
                </pic:pic>
              </a:graphicData>
            </a:graphic>
          </wp:inline>
        </w:drawing>
      </w:r>
    </w:p>
    <w:p>
      <w:pPr>
        <w:jc w:val="center"/>
      </w:pPr>
      <w:r>
        <w:rPr>
          <w:i/>
          <w:sz w:val="20"/>
        </w:rPr>
        <w:t>Baseline Confusion Matrices</w:t>
      </w:r>
    </w:p>
    <w:p>
      <w:r>
        <w:t>Figure 7: Confusion matrices for baseline models showing different precision-recall trade-offs</w:t>
      </w:r>
    </w:p>
    <w:p/>
    <w:p>
      <w:r>
        <w:drawing>
          <wp:inline xmlns:a="http://schemas.openxmlformats.org/drawingml/2006/main" xmlns:pic="http://schemas.openxmlformats.org/drawingml/2006/picture">
            <wp:extent cx="5486400" cy="5594288"/>
            <wp:docPr id="8" name="Picture 8"/>
            <wp:cNvGraphicFramePr>
              <a:graphicFrameLocks noChangeAspect="1"/>
            </wp:cNvGraphicFramePr>
            <a:graphic>
              <a:graphicData uri="http://schemas.openxmlformats.org/drawingml/2006/picture">
                <pic:pic>
                  <pic:nvPicPr>
                    <pic:cNvPr id="0" name="14_baseline_roc_curves.png"/>
                    <pic:cNvPicPr/>
                  </pic:nvPicPr>
                  <pic:blipFill>
                    <a:blip r:embed="rId16"/>
                    <a:stretch>
                      <a:fillRect/>
                    </a:stretch>
                  </pic:blipFill>
                  <pic:spPr>
                    <a:xfrm>
                      <a:off x="0" y="0"/>
                      <a:ext cx="5486400" cy="5594288"/>
                    </a:xfrm>
                    <a:prstGeom prst="rect"/>
                  </pic:spPr>
                </pic:pic>
              </a:graphicData>
            </a:graphic>
          </wp:inline>
        </w:drawing>
      </w:r>
    </w:p>
    <w:p>
      <w:pPr>
        <w:jc w:val="center"/>
      </w:pPr>
      <w:r>
        <w:rPr>
          <w:i/>
          <w:sz w:val="20"/>
        </w:rPr>
        <w:t>Baseline ROC Curves</w:t>
      </w:r>
    </w:p>
    <w:p>
      <w:r>
        <w:t>Figure 8: ROC curves comparing baseline model discrimination abilities</w:t>
      </w:r>
    </w:p>
    <w:p/>
    <w:p>
      <w:r>
        <w:t>Baseline Analysis: The baseline models revealed interesting performance characteristics. The Decision Tree achieved 84.3% accuracy but captured only 33% of positive cases, missing approximately two-thirds of potential customers. In contrast, Logistic Regression achieved 64% recall, capturing nearly twice as many customers, though with lower precision (36.6%). Logistic Regression's superior ROC-AUC (0.804 vs 0.763) indicates better overall discrimination ability, making it a stronger foundation for optimization.</w:t>
      </w:r>
    </w:p>
    <w:p/>
    <w:p>
      <w:pPr>
        <w:pStyle w:val="Heading2"/>
      </w:pPr>
      <w:r>
        <w:t>3.2 Hyperparameter Optimization</w:t>
      </w:r>
    </w:p>
    <w:p/>
    <w:p>
      <w:r>
        <w:t>Decision Tree GridSearchCV: Explored parameter space across max_depth [None, 15, 20], min_samples_leaf [1, 5], min_samples_split [2, 10], ccp_alpha [0.0, 0.001], with class_weight fixed at 'balanced'. Employed 5-fold stratified cross-validation with ROC-AUC scoring.</w:t>
      </w:r>
    </w:p>
    <w:p/>
    <w:p>
      <w:r>
        <w:t>Best Parameters Identified:</w:t>
      </w:r>
    </w:p>
    <w:p>
      <w:pPr>
        <w:pStyle w:val="NoSpacing"/>
      </w:pPr>
      <w:r>
        <w:rPr>
          <w:rFonts w:ascii="Courier New" w:hAnsi="Courier New"/>
          <w:sz w:val="18"/>
        </w:rPr>
        <w:t>{</w:t>
        <w:br/>
        <w:t xml:space="preserve">  'ccp_alpha': 0.001,</w:t>
        <w:br/>
        <w:t xml:space="preserve">  'class_weight': 'balanced',</w:t>
        <w:br/>
        <w:t xml:space="preserve">  'max_depth': None,</w:t>
        <w:br/>
        <w:t xml:space="preserve">  'min_samples_leaf': 1,</w:t>
        <w:br/>
        <w:t xml:space="preserve">  'min_samples_split': 2</w:t>
        <w:br/>
        <w:t>}</w:t>
      </w:r>
    </w:p>
    <w:p/>
    <w:p>
      <w:r>
        <w:t>Cross-Validation ROC-AUC: 0.7867</w:t>
      </w:r>
    </w:p>
    <w:p/>
    <w:p>
      <w:r>
        <w:t>Test Set Performance (Tuned Decision Tree):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Baseline</w:t>
            </w:r>
          </w:p>
        </w:tc>
        <w:tc>
          <w:tcPr>
            <w:tcW w:type="dxa" w:w="2160"/>
          </w:tcPr>
          <w:p>
            <w:r>
              <w:rPr>
                <w:b/>
              </w:rPr>
              <w:t>Tuned</w:t>
            </w:r>
          </w:p>
        </w:tc>
        <w:tc>
          <w:tcPr>
            <w:tcW w:type="dxa" w:w="2160"/>
          </w:tcPr>
          <w:p>
            <w:r>
              <w:rPr>
                <w:b/>
              </w:rPr>
              <w:t>Change</w:t>
            </w:r>
          </w:p>
        </w:tc>
      </w:tr>
      <w:tr>
        <w:tc>
          <w:tcPr>
            <w:tcW w:type="dxa" w:w="2160"/>
          </w:tcPr>
          <w:p>
            <w:r>
              <w:t>Accuracy</w:t>
            </w:r>
          </w:p>
        </w:tc>
        <w:tc>
          <w:tcPr>
            <w:tcW w:type="dxa" w:w="2160"/>
          </w:tcPr>
          <w:p>
            <w:r>
              <w:t>0.8425</w:t>
            </w:r>
          </w:p>
        </w:tc>
        <w:tc>
          <w:tcPr>
            <w:tcW w:type="dxa" w:w="2160"/>
          </w:tcPr>
          <w:p>
            <w:r>
              <w:t>0.8631</w:t>
            </w:r>
          </w:p>
        </w:tc>
        <w:tc>
          <w:tcPr>
            <w:tcW w:type="dxa" w:w="2160"/>
          </w:tcPr>
          <w:p>
            <w:r>
              <w:t>+0.0206</w:t>
            </w:r>
          </w:p>
        </w:tc>
      </w:tr>
      <w:tr>
        <w:tc>
          <w:tcPr>
            <w:tcW w:type="dxa" w:w="2160"/>
          </w:tcPr>
          <w:p>
            <w:r>
              <w:t>Precision</w:t>
            </w:r>
          </w:p>
        </w:tc>
        <w:tc>
          <w:tcPr>
            <w:tcW w:type="dxa" w:w="2160"/>
          </w:tcPr>
          <w:p>
            <w:r>
              <w:t>0.4167</w:t>
            </w:r>
          </w:p>
        </w:tc>
        <w:tc>
          <w:tcPr>
            <w:tcW w:type="dxa" w:w="2160"/>
          </w:tcPr>
          <w:p>
            <w:r>
              <w:t>0.4259</w:t>
            </w:r>
          </w:p>
        </w:tc>
        <w:tc>
          <w:tcPr>
            <w:tcW w:type="dxa" w:w="2160"/>
          </w:tcPr>
          <w:p>
            <w:r>
              <w:t>+0.0092</w:t>
            </w:r>
          </w:p>
        </w:tc>
      </w:tr>
      <w:tr>
        <w:tc>
          <w:tcPr>
            <w:tcW w:type="dxa" w:w="2160"/>
          </w:tcPr>
          <w:p>
            <w:r>
              <w:t>Recall</w:t>
            </w:r>
          </w:p>
        </w:tc>
        <w:tc>
          <w:tcPr>
            <w:tcW w:type="dxa" w:w="2160"/>
          </w:tcPr>
          <w:p>
            <w:r>
              <w:t>0.3328</w:t>
            </w:r>
          </w:p>
        </w:tc>
        <w:tc>
          <w:tcPr>
            <w:tcW w:type="dxa" w:w="2160"/>
          </w:tcPr>
          <w:p>
            <w:r>
              <w:t>**0.6207**</w:t>
            </w:r>
          </w:p>
        </w:tc>
        <w:tc>
          <w:tcPr>
            <w:tcW w:type="dxa" w:w="2160"/>
          </w:tcPr>
          <w:p>
            <w:r>
              <w:t>**+0.2879**</w:t>
            </w:r>
          </w:p>
        </w:tc>
      </w:tr>
      <w:tr>
        <w:tc>
          <w:tcPr>
            <w:tcW w:type="dxa" w:w="2160"/>
          </w:tcPr>
          <w:p>
            <w:r>
              <w:t>F1-Score</w:t>
            </w:r>
          </w:p>
        </w:tc>
        <w:tc>
          <w:tcPr>
            <w:tcW w:type="dxa" w:w="2160"/>
          </w:tcPr>
          <w:p>
            <w:r>
              <w:t>0.3705</w:t>
            </w:r>
          </w:p>
        </w:tc>
        <w:tc>
          <w:tcPr>
            <w:tcW w:type="dxa" w:w="2160"/>
          </w:tcPr>
          <w:p>
            <w:r>
              <w:t>0.5053</w:t>
            </w:r>
          </w:p>
        </w:tc>
        <w:tc>
          <w:tcPr>
            <w:tcW w:type="dxa" w:w="2160"/>
          </w:tcPr>
          <w:p>
            <w:r>
              <w:t>+0.1348</w:t>
            </w:r>
          </w:p>
        </w:tc>
      </w:tr>
      <w:tr>
        <w:tc>
          <w:tcPr>
            <w:tcW w:type="dxa" w:w="2160"/>
          </w:tcPr>
          <w:p>
            <w:r>
              <w:t>ROC-AUC</w:t>
            </w:r>
          </w:p>
        </w:tc>
        <w:tc>
          <w:tcPr>
            <w:tcW w:type="dxa" w:w="2160"/>
          </w:tcPr>
          <w:p>
            <w:r>
              <w:t>0.7627</w:t>
            </w:r>
          </w:p>
        </w:tc>
        <w:tc>
          <w:tcPr>
            <w:tcW w:type="dxa" w:w="2160"/>
          </w:tcPr>
          <w:p>
            <w:r>
              <w:t>0.8014</w:t>
            </w:r>
          </w:p>
        </w:tc>
        <w:tc>
          <w:tcPr>
            <w:tcW w:type="dxa" w:w="2160"/>
          </w:tcPr>
          <w:p>
            <w:r>
              <w:t>+0.0387</w:t>
            </w:r>
          </w:p>
        </w:tc>
      </w:tr>
    </w:tbl>
    <w:p/>
    <w:p/>
    <w:p>
      <w:r>
        <w:t>Logistic Regression GridSearchCV: Explored C [0.01, 0.1, 1], penalty ['l2'], solver ['lbfgs'], with class_weight='balanced' and max_iter=1000.</w:t>
      </w:r>
    </w:p>
    <w:p/>
    <w:p>
      <w:r>
        <w:t>Best Parameters Identified:</w:t>
      </w:r>
    </w:p>
    <w:p>
      <w:pPr>
        <w:pStyle w:val="NoSpacing"/>
      </w:pPr>
      <w:r>
        <w:rPr>
          <w:rFonts w:ascii="Courier New" w:hAnsi="Courier New"/>
          <w:sz w:val="18"/>
        </w:rPr>
        <w:t>{</w:t>
        <w:br/>
        <w:t xml:space="preserve">  'C': 0.1,</w:t>
        <w:br/>
        <w:t xml:space="preserve">  'class_weight': 'balanced',</w:t>
        <w:br/>
        <w:t xml:space="preserve">  'max_iter': 1000,</w:t>
        <w:br/>
        <w:t xml:space="preserve">  'penalty': 'l2',</w:t>
        <w:br/>
        <w:t xml:space="preserve">  'solver': 'lbfgs'</w:t>
        <w:br/>
        <w:t>}</w:t>
      </w:r>
    </w:p>
    <w:p/>
    <w:p>
      <w:r>
        <w:t>Test Set Performance (Tuned Logistic Regression):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Baseline</w:t>
            </w:r>
          </w:p>
        </w:tc>
        <w:tc>
          <w:tcPr>
            <w:tcW w:type="dxa" w:w="2160"/>
          </w:tcPr>
          <w:p>
            <w:r>
              <w:rPr>
                <w:b/>
              </w:rPr>
              <w:t>Tuned</w:t>
            </w:r>
          </w:p>
        </w:tc>
        <w:tc>
          <w:tcPr>
            <w:tcW w:type="dxa" w:w="2160"/>
          </w:tcPr>
          <w:p>
            <w:r>
              <w:rPr>
                <w:b/>
              </w:rPr>
              <w:t>Change</w:t>
            </w:r>
          </w:p>
        </w:tc>
      </w:tr>
      <w:tr>
        <w:tc>
          <w:tcPr>
            <w:tcW w:type="dxa" w:w="2160"/>
          </w:tcPr>
          <w:p>
            <w:r>
              <w:t>Accuracy</w:t>
            </w:r>
          </w:p>
        </w:tc>
        <w:tc>
          <w:tcPr>
            <w:tcW w:type="dxa" w:w="2160"/>
          </w:tcPr>
          <w:p>
            <w:r>
              <w:t>0.8346</w:t>
            </w:r>
          </w:p>
        </w:tc>
        <w:tc>
          <w:tcPr>
            <w:tcW w:type="dxa" w:w="2160"/>
          </w:tcPr>
          <w:p>
            <w:r>
              <w:t>0.8346</w:t>
            </w:r>
          </w:p>
        </w:tc>
        <w:tc>
          <w:tcPr>
            <w:tcW w:type="dxa" w:w="2160"/>
          </w:tcPr>
          <w:p>
            <w:r>
              <w:t>0.0000</w:t>
            </w:r>
          </w:p>
        </w:tc>
      </w:tr>
      <w:tr>
        <w:tc>
          <w:tcPr>
            <w:tcW w:type="dxa" w:w="2160"/>
          </w:tcPr>
          <w:p>
            <w:r>
              <w:t>Precision</w:t>
            </w:r>
          </w:p>
        </w:tc>
        <w:tc>
          <w:tcPr>
            <w:tcW w:type="dxa" w:w="2160"/>
          </w:tcPr>
          <w:p>
            <w:r>
              <w:t>0.3662</w:t>
            </w:r>
          </w:p>
        </w:tc>
        <w:tc>
          <w:tcPr>
            <w:tcW w:type="dxa" w:w="2160"/>
          </w:tcPr>
          <w:p>
            <w:r>
              <w:t>0.3662</w:t>
            </w:r>
          </w:p>
        </w:tc>
        <w:tc>
          <w:tcPr>
            <w:tcW w:type="dxa" w:w="2160"/>
          </w:tcPr>
          <w:p>
            <w:r>
              <w:t>0.0000</w:t>
            </w:r>
          </w:p>
        </w:tc>
      </w:tr>
      <w:tr>
        <w:tc>
          <w:tcPr>
            <w:tcW w:type="dxa" w:w="2160"/>
          </w:tcPr>
          <w:p>
            <w:r>
              <w:t>Recall</w:t>
            </w:r>
          </w:p>
        </w:tc>
        <w:tc>
          <w:tcPr>
            <w:tcW w:type="dxa" w:w="2160"/>
          </w:tcPr>
          <w:p>
            <w:r>
              <w:t>0.6440</w:t>
            </w:r>
          </w:p>
        </w:tc>
        <w:tc>
          <w:tcPr>
            <w:tcW w:type="dxa" w:w="2160"/>
          </w:tcPr>
          <w:p>
            <w:r>
              <w:t>**0.6440**</w:t>
            </w:r>
          </w:p>
        </w:tc>
        <w:tc>
          <w:tcPr>
            <w:tcW w:type="dxa" w:w="2160"/>
          </w:tcPr>
          <w:p>
            <w:r>
              <w:t>0.0000</w:t>
            </w:r>
          </w:p>
        </w:tc>
      </w:tr>
      <w:tr>
        <w:tc>
          <w:tcPr>
            <w:tcW w:type="dxa" w:w="2160"/>
          </w:tcPr>
          <w:p>
            <w:r>
              <w:t>F1-Score</w:t>
            </w:r>
          </w:p>
        </w:tc>
        <w:tc>
          <w:tcPr>
            <w:tcW w:type="dxa" w:w="2160"/>
          </w:tcPr>
          <w:p>
            <w:r>
              <w:t>0.4678</w:t>
            </w:r>
          </w:p>
        </w:tc>
        <w:tc>
          <w:tcPr>
            <w:tcW w:type="dxa" w:w="2160"/>
          </w:tcPr>
          <w:p>
            <w:r>
              <w:t>0.4678</w:t>
            </w:r>
          </w:p>
        </w:tc>
        <w:tc>
          <w:tcPr>
            <w:tcW w:type="dxa" w:w="2160"/>
          </w:tcPr>
          <w:p>
            <w:r>
              <w:t>0.0000</w:t>
            </w:r>
          </w:p>
        </w:tc>
      </w:tr>
      <w:tr>
        <w:tc>
          <w:tcPr>
            <w:tcW w:type="dxa" w:w="2160"/>
          </w:tcPr>
          <w:p>
            <w:r>
              <w:t>ROC-AUC</w:t>
            </w:r>
          </w:p>
        </w:tc>
        <w:tc>
          <w:tcPr>
            <w:tcW w:type="dxa" w:w="2160"/>
          </w:tcPr>
          <w:p>
            <w:r>
              <w:t>0.8038</w:t>
            </w:r>
          </w:p>
        </w:tc>
        <w:tc>
          <w:tcPr>
            <w:tcW w:type="dxa" w:w="2160"/>
          </w:tcPr>
          <w:p>
            <w:r>
              <w:t>0.8038</w:t>
            </w:r>
          </w:p>
        </w:tc>
        <w:tc>
          <w:tcPr>
            <w:tcW w:type="dxa" w:w="2160"/>
          </w:tcPr>
          <w:p>
            <w:r>
              <w:t>0.0000</w:t>
            </w:r>
          </w:p>
        </w:tc>
      </w:tr>
    </w:tbl>
    <w:p/>
    <w:p/>
    <w:p>
      <w:r>
        <w:drawing>
          <wp:inline xmlns:a="http://schemas.openxmlformats.org/drawingml/2006/main" xmlns:pic="http://schemas.openxmlformats.org/drawingml/2006/picture">
            <wp:extent cx="5486400" cy="2429153"/>
            <wp:docPr id="9" name="Picture 9"/>
            <wp:cNvGraphicFramePr>
              <a:graphicFrameLocks noChangeAspect="1"/>
            </wp:cNvGraphicFramePr>
            <a:graphic>
              <a:graphicData uri="http://schemas.openxmlformats.org/drawingml/2006/picture">
                <pic:pic>
                  <pic:nvPicPr>
                    <pic:cNvPr id="0" name="15_tuned_confusion_matrices.png"/>
                    <pic:cNvPicPr/>
                  </pic:nvPicPr>
                  <pic:blipFill>
                    <a:blip r:embed="rId17"/>
                    <a:stretch>
                      <a:fillRect/>
                    </a:stretch>
                  </pic:blipFill>
                  <pic:spPr>
                    <a:xfrm>
                      <a:off x="0" y="0"/>
                      <a:ext cx="5486400" cy="2429153"/>
                    </a:xfrm>
                    <a:prstGeom prst="rect"/>
                  </pic:spPr>
                </pic:pic>
              </a:graphicData>
            </a:graphic>
          </wp:inline>
        </w:drawing>
      </w:r>
    </w:p>
    <w:p>
      <w:pPr>
        <w:jc w:val="center"/>
      </w:pPr>
      <w:r>
        <w:rPr>
          <w:i/>
          <w:sz w:val="20"/>
        </w:rPr>
        <w:t>Tuned Confusion Matrices</w:t>
      </w:r>
    </w:p>
    <w:p>
      <w:r>
        <w:t>Figure 9: Confusion matrices for tuned models showing maintained or improved performance</w:t>
      </w:r>
    </w:p>
    <w:p/>
    <w:p>
      <w:r>
        <w:drawing>
          <wp:inline xmlns:a="http://schemas.openxmlformats.org/drawingml/2006/main" xmlns:pic="http://schemas.openxmlformats.org/drawingml/2006/picture">
            <wp:extent cx="5486400" cy="5594288"/>
            <wp:docPr id="10" name="Picture 10"/>
            <wp:cNvGraphicFramePr>
              <a:graphicFrameLocks noChangeAspect="1"/>
            </wp:cNvGraphicFramePr>
            <a:graphic>
              <a:graphicData uri="http://schemas.openxmlformats.org/drawingml/2006/picture">
                <pic:pic>
                  <pic:nvPicPr>
                    <pic:cNvPr id="0" name="16_tuned_roc_curves.png"/>
                    <pic:cNvPicPr/>
                  </pic:nvPicPr>
                  <pic:blipFill>
                    <a:blip r:embed="rId18"/>
                    <a:stretch>
                      <a:fillRect/>
                    </a:stretch>
                  </pic:blipFill>
                  <pic:spPr>
                    <a:xfrm>
                      <a:off x="0" y="0"/>
                      <a:ext cx="5486400" cy="5594288"/>
                    </a:xfrm>
                    <a:prstGeom prst="rect"/>
                  </pic:spPr>
                </pic:pic>
              </a:graphicData>
            </a:graphic>
          </wp:inline>
        </w:drawing>
      </w:r>
    </w:p>
    <w:p>
      <w:pPr>
        <w:jc w:val="center"/>
      </w:pPr>
      <w:r>
        <w:rPr>
          <w:i/>
          <w:sz w:val="20"/>
        </w:rPr>
        <w:t>Tuned ROC Curves</w:t>
      </w:r>
    </w:p>
    <w:p>
      <w:r>
        <w:t>Figure 10: ROC curves demonstrating competitive discrimination abilities</w:t>
      </w:r>
    </w:p>
    <w:p/>
    <w:p>
      <w:r>
        <w:t>Hyperparameter Tuning Analysis: GridSearchCV successfully improved Decision Tree recall from 33% to 62%, achieving an 87% relative improvement. This substantial gain indicates the baseline configuration was severely under-optimized. The optimal parameters (ccp_alpha=0.001) introduced minimal pruning, allowing the tree to capture complex patterns while maintaining generalization (evidenced by improved cross-validation AUC).</w:t>
      </w:r>
    </w:p>
    <w:p/>
    <w:p>
      <w:r>
        <w:t>Logistic Regression showed minimal improvement from tuning, with the C=0.1 configuration performing identically to baseline. This suggests the baseline Logistic Regression was already well-configured, and that the class_weight='balanced' setting was the primary driver of its strong baseline recall performance. Both tuned models achieved competitive ROC-AUC scores around 0.80, indicating similar overall discrimination abilities.</w:t>
      </w:r>
    </w:p>
    <w:p/>
    <w:p>
      <w:pPr>
        <w:pStyle w:val="Heading2"/>
      </w:pPr>
      <w:r>
        <w:t>3.3 Cost-Sensitive Threshold Optimization</w:t>
      </w:r>
    </w:p>
    <w:p/>
    <w:p>
      <w:r>
        <w:t>Traditional classification employs a default 0.5 probability threshold, treating false positives and false negatives as equally costly. Real business scenarios exhibit asymmetric error costs. To align model deployment with operational economics, a cost matrix was developed:</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Prediction</w:t>
            </w:r>
          </w:p>
        </w:tc>
        <w:tc>
          <w:tcPr>
            <w:tcW w:type="dxa" w:w="2160"/>
          </w:tcPr>
          <w:p>
            <w:r>
              <w:rPr>
                <w:b/>
              </w:rPr>
              <w:t>Actual</w:t>
            </w:r>
          </w:p>
        </w:tc>
        <w:tc>
          <w:tcPr>
            <w:tcW w:type="dxa" w:w="2160"/>
          </w:tcPr>
          <w:p>
            <w:r>
              <w:rPr>
                <w:b/>
              </w:rPr>
              <w:t>Outcome</w:t>
            </w:r>
          </w:p>
        </w:tc>
        <w:tc>
          <w:tcPr>
            <w:tcW w:type="dxa" w:w="2160"/>
          </w:tcPr>
          <w:p>
            <w:r>
              <w:rPr>
                <w:b/>
              </w:rPr>
              <w:t>Cost</w:t>
            </w:r>
          </w:p>
        </w:tc>
      </w:tr>
      <w:tr>
        <w:tc>
          <w:tcPr>
            <w:tcW w:type="dxa" w:w="2160"/>
          </w:tcPr>
          <w:p>
            <w:r>
              <w:t>Positive</w:t>
            </w:r>
          </w:p>
        </w:tc>
        <w:tc>
          <w:tcPr>
            <w:tcW w:type="dxa" w:w="2160"/>
          </w:tcPr>
          <w:p>
            <w:r>
              <w:t>Negative</w:t>
            </w:r>
          </w:p>
        </w:tc>
        <w:tc>
          <w:tcPr>
            <w:tcW w:type="dxa" w:w="2160"/>
          </w:tcPr>
          <w:p>
            <w:r>
              <w:t>False Positive (FP)</w:t>
            </w:r>
          </w:p>
        </w:tc>
        <w:tc>
          <w:tcPr>
            <w:tcW w:type="dxa" w:w="2160"/>
          </w:tcPr>
          <w:p>
            <w:r>
              <w:t>+1.5</w:t>
            </w:r>
          </w:p>
        </w:tc>
      </w:tr>
      <w:tr>
        <w:tc>
          <w:tcPr>
            <w:tcW w:type="dxa" w:w="2160"/>
          </w:tcPr>
          <w:p>
            <w:r>
              <w:t>Negative</w:t>
            </w:r>
          </w:p>
        </w:tc>
        <w:tc>
          <w:tcPr>
            <w:tcW w:type="dxa" w:w="2160"/>
          </w:tcPr>
          <w:p>
            <w:r>
              <w:t>Positive</w:t>
            </w:r>
          </w:p>
        </w:tc>
        <w:tc>
          <w:tcPr>
            <w:tcW w:type="dxa" w:w="2160"/>
          </w:tcPr>
          <w:p>
            <w:r>
              <w:t>False Negative (FN)</w:t>
            </w:r>
          </w:p>
        </w:tc>
        <w:tc>
          <w:tcPr>
            <w:tcW w:type="dxa" w:w="2160"/>
          </w:tcPr>
          <w:p>
            <w:r>
              <w:t>+20.0</w:t>
            </w:r>
          </w:p>
        </w:tc>
      </w:tr>
      <w:tr>
        <w:tc>
          <w:tcPr>
            <w:tcW w:type="dxa" w:w="2160"/>
          </w:tcPr>
          <w:p>
            <w:r>
              <w:t>Positive</w:t>
            </w:r>
          </w:p>
        </w:tc>
        <w:tc>
          <w:tcPr>
            <w:tcW w:type="dxa" w:w="2160"/>
          </w:tcPr>
          <w:p>
            <w:r>
              <w:t>Positive</w:t>
            </w:r>
          </w:p>
        </w:tc>
        <w:tc>
          <w:tcPr>
            <w:tcW w:type="dxa" w:w="2160"/>
          </w:tcPr>
          <w:p>
            <w:r>
              <w:t>True Positive (TP)</w:t>
            </w:r>
          </w:p>
        </w:tc>
        <w:tc>
          <w:tcPr>
            <w:tcW w:type="dxa" w:w="2160"/>
          </w:tcPr>
          <w:p>
            <w:r>
              <w:t>-5.0</w:t>
            </w:r>
          </w:p>
        </w:tc>
      </w:tr>
      <w:tr>
        <w:tc>
          <w:tcPr>
            <w:tcW w:type="dxa" w:w="2160"/>
          </w:tcPr>
          <w:p>
            <w:r>
              <w:t>Negative</w:t>
            </w:r>
          </w:p>
        </w:tc>
        <w:tc>
          <w:tcPr>
            <w:tcW w:type="dxa" w:w="2160"/>
          </w:tcPr>
          <w:p>
            <w:r>
              <w:t>Negative</w:t>
            </w:r>
          </w:p>
        </w:tc>
        <w:tc>
          <w:tcPr>
            <w:tcW w:type="dxa" w:w="2160"/>
          </w:tcPr>
          <w:p>
            <w:r>
              <w:t>True Negative (TN)</w:t>
            </w:r>
          </w:p>
        </w:tc>
        <w:tc>
          <w:tcPr>
            <w:tcW w:type="dxa" w:w="2160"/>
          </w:tcPr>
          <w:p>
            <w:r>
              <w:t>0.0</w:t>
            </w:r>
          </w:p>
        </w:tc>
      </w:tr>
    </w:tbl>
    <w:p/>
    <w:p/>
    <w:p>
      <w:r>
        <w:t>Cost Justification: False Positive cost (+1.5) reflects direct expenses of unnecessary contact: agent labor (approximately 5 minutes × wage rate), telecommunications charges, and potential customer dissatisfaction. False Negative cost (+20.0) represents opportunity cost of missed customer acquisition: lost term deposit revenue over expected holding period, customer lifetime value reduction. The FN:FP cost ratio of 13.3:1 reflects business reality where customer acquisition value substantially exceeds contact costs. True Positive cost (-5.0) captures net revenue: term deposit profit minus contact expenses (negative cost = positive value). True Negative cost (0.0) represents correct non-contact decisions with zero marginal cost.</w:t>
      </w:r>
    </w:p>
    <w:p/>
    <w:p>
      <w:r>
        <w:t>Threshold Sweep Methodology: For each model's predicted probabilities, threshold values from 0.01 to 0.99 (99 points) were systematically evaluated. At each threshold t, predictions were generated (ŷ = 1 if P(y=1|X) ≥ t, else 0), confusion matrix components computed, and expected cost per customer calculated as:</w:t>
      </w:r>
    </w:p>
    <w:p/>
    <w:p>
      <w:r>
        <w:t>Expected Cost = (FP × 1.5 + FN × 20.0 + TP × (-5.0) + TN × 0.0) / n_samples</w:t>
      </w:r>
    </w:p>
    <w:p/>
    <w:p>
      <w:r>
        <w:t>The threshold minimizing expected cost was selected as optimal for deployment.</w:t>
      </w:r>
    </w:p>
    <w:p/>
    <w:p>
      <w:r>
        <w:t>Optimal Thresholds Identified:</w:t>
      </w:r>
    </w:p>
    <w:p/>
    <w:p>
      <w:pPr>
        <w:pStyle w:val="ListBullet"/>
      </w:pPr>
      <w:r>
        <w:t>Decision Tree: Threshold = 0.340, Minimum Cost = 0.552</w:t>
      </w:r>
    </w:p>
    <w:p>
      <w:pPr>
        <w:pStyle w:val="ListBullet"/>
      </w:pPr>
      <w:r>
        <w:t>Logistic Regression: Threshold = 0.340, Minimum Cost = 0.516 ← LOWEST</w:t>
      </w:r>
    </w:p>
    <w:p/>
    <w:p>
      <w:r>
        <w:drawing>
          <wp:inline xmlns:a="http://schemas.openxmlformats.org/drawingml/2006/main" xmlns:pic="http://schemas.openxmlformats.org/drawingml/2006/picture">
            <wp:extent cx="5486400" cy="3263032"/>
            <wp:docPr id="11" name="Picture 11"/>
            <wp:cNvGraphicFramePr>
              <a:graphicFrameLocks noChangeAspect="1"/>
            </wp:cNvGraphicFramePr>
            <a:graphic>
              <a:graphicData uri="http://schemas.openxmlformats.org/drawingml/2006/picture">
                <pic:pic>
                  <pic:nvPicPr>
                    <pic:cNvPr id="0" name="17_cost_threshold_optimization.png"/>
                    <pic:cNvPicPr/>
                  </pic:nvPicPr>
                  <pic:blipFill>
                    <a:blip r:embed="rId19"/>
                    <a:stretch>
                      <a:fillRect/>
                    </a:stretch>
                  </pic:blipFill>
                  <pic:spPr>
                    <a:xfrm>
                      <a:off x="0" y="0"/>
                      <a:ext cx="5486400" cy="3263032"/>
                    </a:xfrm>
                    <a:prstGeom prst="rect"/>
                  </pic:spPr>
                </pic:pic>
              </a:graphicData>
            </a:graphic>
          </wp:inline>
        </w:drawing>
      </w:r>
    </w:p>
    <w:p>
      <w:pPr>
        <w:jc w:val="center"/>
      </w:pPr>
      <w:r>
        <w:rPr>
          <w:i/>
          <w:sz w:val="20"/>
        </w:rPr>
        <w:t>Cost-Threshold Optimization</w:t>
      </w:r>
    </w:p>
    <w:p>
      <w:r>
        <w:t>Figure 11: Expected cost per customer across classification thresholds showing clear optima</w:t>
      </w:r>
    </w:p>
    <w:p/>
    <w:p>
      <w:r>
        <w:t>Performance at Optimal Thresholds:</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Threshold</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w:t>
            </w:r>
          </w:p>
        </w:tc>
        <w:tc>
          <w:tcPr>
            <w:tcW w:type="dxa" w:w="1234"/>
          </w:tcPr>
          <w:p>
            <w:r>
              <w:rPr>
                <w:b/>
              </w:rPr>
              <w:t>Avg Cost</w:t>
            </w:r>
          </w:p>
        </w:tc>
      </w:tr>
      <w:tr>
        <w:tc>
          <w:tcPr>
            <w:tcW w:type="dxa" w:w="1234"/>
          </w:tcPr>
          <w:p>
            <w:r>
              <w:t>Decision Tree</w:t>
            </w:r>
          </w:p>
        </w:tc>
        <w:tc>
          <w:tcPr>
            <w:tcW w:type="dxa" w:w="1234"/>
          </w:tcPr>
          <w:p>
            <w:r>
              <w:t>0.34</w:t>
            </w:r>
          </w:p>
        </w:tc>
        <w:tc>
          <w:tcPr>
            <w:tcW w:type="dxa" w:w="1234"/>
          </w:tcPr>
          <w:p>
            <w:r>
              <w:t>0.7896</w:t>
            </w:r>
          </w:p>
        </w:tc>
        <w:tc>
          <w:tcPr>
            <w:tcW w:type="dxa" w:w="1234"/>
          </w:tcPr>
          <w:p>
            <w:r>
              <w:t>0.3518</w:t>
            </w:r>
          </w:p>
        </w:tc>
        <w:tc>
          <w:tcPr>
            <w:tcW w:type="dxa" w:w="1234"/>
          </w:tcPr>
          <w:p>
            <w:r>
              <w:t>0.6940</w:t>
            </w:r>
          </w:p>
        </w:tc>
        <w:tc>
          <w:tcPr>
            <w:tcW w:type="dxa" w:w="1234"/>
          </w:tcPr>
          <w:p>
            <w:r>
              <w:t>0.4676</w:t>
            </w:r>
          </w:p>
        </w:tc>
        <w:tc>
          <w:tcPr>
            <w:tcW w:type="dxa" w:w="1234"/>
          </w:tcPr>
          <w:p>
            <w:r>
              <w:t>0.552</w:t>
            </w:r>
          </w:p>
        </w:tc>
      </w:tr>
      <w:tr>
        <w:tc>
          <w:tcPr>
            <w:tcW w:type="dxa" w:w="1234"/>
          </w:tcPr>
          <w:p>
            <w:r>
              <w:t>**Logistic Regression**</w:t>
            </w:r>
          </w:p>
        </w:tc>
        <w:tc>
          <w:tcPr>
            <w:tcW w:type="dxa" w:w="1234"/>
          </w:tcPr>
          <w:p>
            <w:r>
              <w:t>**0.34**</w:t>
            </w:r>
          </w:p>
        </w:tc>
        <w:tc>
          <w:tcPr>
            <w:tcW w:type="dxa" w:w="1234"/>
          </w:tcPr>
          <w:p>
            <w:r>
              <w:t>**0.7699**</w:t>
            </w:r>
          </w:p>
        </w:tc>
        <w:tc>
          <w:tcPr>
            <w:tcW w:type="dxa" w:w="1234"/>
          </w:tcPr>
          <w:p>
            <w:r>
              <w:t>**0.3262**</w:t>
            </w:r>
          </w:p>
        </w:tc>
        <w:tc>
          <w:tcPr>
            <w:tcW w:type="dxa" w:w="1234"/>
          </w:tcPr>
          <w:p>
            <w:r>
              <w:t>**0.8112**</w:t>
            </w:r>
          </w:p>
        </w:tc>
        <w:tc>
          <w:tcPr>
            <w:tcW w:type="dxa" w:w="1234"/>
          </w:tcPr>
          <w:p>
            <w:r>
              <w:t>**0.4658**</w:t>
            </w:r>
          </w:p>
        </w:tc>
        <w:tc>
          <w:tcPr>
            <w:tcW w:type="dxa" w:w="1234"/>
          </w:tcPr>
          <w:p>
            <w:r>
              <w:t>**0.516**</w:t>
            </w:r>
          </w:p>
        </w:tc>
      </w:tr>
    </w:tbl>
    <w:p/>
    <w:p/>
    <w:p>
      <w:r>
        <w:t>Cost Optimization Analysis: Optimal thresholds (0.34 for both models) are substantially lower than the default 0.5, reflecting the business imperative to favor recall (minimize FN) over precision (minimize FP) given the 13.3:1 cost ratio. At these thresholds, Logistic Regression achieves:</w:t>
      </w:r>
    </w:p>
    <w:p/>
    <w:p>
      <w:pPr>
        <w:pStyle w:val="ListBullet"/>
      </w:pPr>
      <w:r>
        <w:t>81.1% customer capture rate (only missing 18.9% of potential acceptances)</w:t>
      </w:r>
    </w:p>
    <w:p>
      <w:pPr>
        <w:pStyle w:val="ListBullet"/>
      </w:pPr>
      <w:r>
        <w:t>Average cost of 0.516 per contact (vs theoretical maximum of 20.0 for always predicting negative)</w:t>
      </w:r>
    </w:p>
    <w:p>
      <w:pPr>
        <w:pStyle w:val="ListBullet"/>
      </w:pPr>
      <w:r>
        <w:t>Substantial improvement over baseline: recall increased from 64% to 81% while reducing cost</w:t>
      </w:r>
    </w:p>
    <w:p/>
    <w:p>
      <w:r>
        <w:t>The cost curve visualization reveals convex relationships with clear minima near threshold 0.34, validating the optimization approach. Logistic Regression's superior cost performance stems from better probability calibration (predicted probabilities closer to true conditional probabilities), enabling more accurate cost-benefit trade-offs across thresholds.</w:t>
      </w:r>
    </w:p>
    <w:p/>
    <w:p>
      <w:pPr>
        <w:pStyle w:val="Heading2"/>
      </w:pPr>
      <w:r>
        <w:t>3.4 Model Interpretability</w:t>
      </w:r>
    </w:p>
    <w:p/>
    <w:p>
      <w:r>
        <w:t>Decision Tree Feature Importance: Information gain-based importance rankings reveal the relative contribution of features to split decisions:</w:t>
      </w:r>
    </w:p>
    <w:p/>
    <w:p>
      <w:r>
        <w:t>Top 10 Features:</w:t>
      </w:r>
    </w:p>
    <w:p>
      <w:pPr>
        <w:pStyle w:val="ListNumber"/>
      </w:pPr>
      <w:r>
        <w:t>`nr.employed` (Number of employees) - Importance: 0.674</w:t>
      </w:r>
    </w:p>
    <w:p>
      <w:pPr>
        <w:pStyle w:val="ListNumber"/>
      </w:pPr>
      <w:r>
        <w:t>`cons.conf.idx` (Consumer confidence index) - Importance: 0.130</w:t>
      </w:r>
    </w:p>
    <w:p>
      <w:pPr>
        <w:pStyle w:val="ListNumber"/>
      </w:pPr>
      <w:r>
        <w:t>`was_contacted_before` (Previously contacted flag) - Importance: 0.054</w:t>
      </w:r>
    </w:p>
    <w:p>
      <w:pPr>
        <w:pStyle w:val="ListNumber"/>
      </w:pPr>
      <w:r>
        <w:t>`euribor3m` (Euribor 3-month rate) - Importance: 0.034</w:t>
      </w:r>
    </w:p>
    <w:p>
      <w:pPr>
        <w:pStyle w:val="ListNumber"/>
      </w:pPr>
      <w:r>
        <w:t>`cons.price.idx` (Consumer price index) - Importance: 0.027</w:t>
      </w:r>
    </w:p>
    <w:p>
      <w:pPr>
        <w:pStyle w:val="ListNumber"/>
      </w:pPr>
      <w:r>
        <w:t>`age` (Customer age) - Importance: 0.018</w:t>
      </w:r>
    </w:p>
    <w:p>
      <w:pPr>
        <w:pStyle w:val="ListNumber"/>
      </w:pPr>
      <w:r>
        <w:t>`pdays` (Days since last contact) - Importance: 0.014</w:t>
      </w:r>
    </w:p>
    <w:p>
      <w:pPr>
        <w:pStyle w:val="ListNumber"/>
      </w:pPr>
      <w:r>
        <w:t>`emp.var.rate` (Employment variation rate) - Importance: 0.012</w:t>
      </w:r>
    </w:p>
    <w:p>
      <w:pPr>
        <w:pStyle w:val="ListNumber"/>
      </w:pPr>
      <w:r>
        <w:t>`campaign_log` (Log-transformed campaign contacts) - Importance: 0.011</w:t>
      </w:r>
    </w:p>
    <w:p>
      <w:pPr>
        <w:pStyle w:val="ListNumber"/>
      </w:pPr>
      <w:r>
        <w:t>`previous_log` (Log-transformed previous contacts) - Importance: 0.008</w:t>
      </w:r>
    </w:p>
    <w:p/>
    <w:p>
      <w:r>
        <w:drawing>
          <wp:inline xmlns:a="http://schemas.openxmlformats.org/drawingml/2006/main" xmlns:pic="http://schemas.openxmlformats.org/drawingml/2006/picture">
            <wp:extent cx="5486400" cy="4375067"/>
            <wp:docPr id="12" name="Picture 12"/>
            <wp:cNvGraphicFramePr>
              <a:graphicFrameLocks noChangeAspect="1"/>
            </wp:cNvGraphicFramePr>
            <a:graphic>
              <a:graphicData uri="http://schemas.openxmlformats.org/drawingml/2006/picture">
                <pic:pic>
                  <pic:nvPicPr>
                    <pic:cNvPr id="0" name="18_dt_feature_importance.png"/>
                    <pic:cNvPicPr/>
                  </pic:nvPicPr>
                  <pic:blipFill>
                    <a:blip r:embed="rId20"/>
                    <a:stretch>
                      <a:fillRect/>
                    </a:stretch>
                  </pic:blipFill>
                  <pic:spPr>
                    <a:xfrm>
                      <a:off x="0" y="0"/>
                      <a:ext cx="5486400" cy="4375067"/>
                    </a:xfrm>
                    <a:prstGeom prst="rect"/>
                  </pic:spPr>
                </pic:pic>
              </a:graphicData>
            </a:graphic>
          </wp:inline>
        </w:drawing>
      </w:r>
    </w:p>
    <w:p>
      <w:pPr>
        <w:jc w:val="center"/>
      </w:pPr>
      <w:r>
        <w:rPr>
          <w:i/>
          <w:sz w:val="20"/>
        </w:rPr>
        <w:t>Decision Tree Feature Importance</w:t>
      </w:r>
    </w:p>
    <w:p>
      <w:r>
        <w:t>Figure 12: Decision Tree feature importance showing dominance of macroeconomic indicators</w:t>
      </w:r>
    </w:p>
    <w:p/>
    <w:p>
      <w:r>
        <w:t>Interpretation: Employment level (nr.employed) emerges as the dominant predictor, accounting for approximately 67% of total importance. This aligns with domain knowledge: economic stability and employment security directly influence customer willingness to commit funds to term deposits. Consumer confidence (cons.conf.idx) ranks second, reflecting sentiment factors affecting financial decisions. The engineered was_contacted_before feature ranks third, validating the warm lead hypothesis—previous contact establishes relationship familiarity and brand trust. Economic indicators collectively dominate individual demographic characteristics, suggesting campaign timing (economic cycles) matters more than customer selection (demographics) for this product.</w:t>
      </w:r>
    </w:p>
    <w:p/>
    <w:p>
      <w:r>
        <w:drawing>
          <wp:inline xmlns:a="http://schemas.openxmlformats.org/drawingml/2006/main" xmlns:pic="http://schemas.openxmlformats.org/drawingml/2006/picture">
            <wp:extent cx="5486400" cy="2730334"/>
            <wp:docPr id="13" name="Picture 13"/>
            <wp:cNvGraphicFramePr>
              <a:graphicFrameLocks noChangeAspect="1"/>
            </wp:cNvGraphicFramePr>
            <a:graphic>
              <a:graphicData uri="http://schemas.openxmlformats.org/drawingml/2006/picture">
                <pic:pic>
                  <pic:nvPicPr>
                    <pic:cNvPr id="0" name="19_decision_tree_structure.png"/>
                    <pic:cNvPicPr/>
                  </pic:nvPicPr>
                  <pic:blipFill>
                    <a:blip r:embed="rId21"/>
                    <a:stretch>
                      <a:fillRect/>
                    </a:stretch>
                  </pic:blipFill>
                  <pic:spPr>
                    <a:xfrm>
                      <a:off x="0" y="0"/>
                      <a:ext cx="5486400" cy="2730334"/>
                    </a:xfrm>
                    <a:prstGeom prst="rect"/>
                  </pic:spPr>
                </pic:pic>
              </a:graphicData>
            </a:graphic>
          </wp:inline>
        </w:drawing>
      </w:r>
    </w:p>
    <w:p>
      <w:pPr>
        <w:jc w:val="center"/>
      </w:pPr>
      <w:r>
        <w:rPr>
          <w:i/>
          <w:sz w:val="20"/>
        </w:rPr>
        <w:t>Decision Tree Structure</w:t>
      </w:r>
    </w:p>
    <w:p>
      <w:r>
        <w:t>Figure 13: Decision tree structure (depth=3) revealing primary decision rules</w:t>
      </w:r>
    </w:p>
    <w:p/>
    <w:p>
      <w:r>
        <w:t>Logistic Regression Coefficients: Log-odds ratio interpretation with top positive (increase acceptance probability) and negative (decrease acceptance probability) coefficients:</w:t>
      </w:r>
    </w:p>
    <w:p/>
    <w:p>
      <w:r>
        <w:t>Top 10 Most Influential Features (by absolute coefficient):</w:t>
      </w:r>
    </w:p>
    <w:p>
      <w:pPr>
        <w:pStyle w:val="ListNumber"/>
      </w:pPr>
      <w:r>
        <w:t>`emp.var.rate` (Employment variation rate): -1.693 (negative coefficient)</w:t>
      </w:r>
    </w:p>
    <w:p>
      <w:pPr>
        <w:pStyle w:val="ListNumber"/>
      </w:pPr>
      <w:r>
        <w:t>`month_mar` (March contact): +1.070 (positive coefficient)</w:t>
      </w:r>
    </w:p>
    <w:p>
      <w:pPr>
        <w:pStyle w:val="ListNumber"/>
      </w:pPr>
      <w:r>
        <w:t>`cons.price.idx` (Consumer price index): +0.773 (positive coefficient)</w:t>
      </w:r>
    </w:p>
    <w:p>
      <w:pPr>
        <w:pStyle w:val="ListNumber"/>
      </w:pPr>
      <w:r>
        <w:t>`month_may` (May contact): -0.724 (negative coefficient)</w:t>
      </w:r>
    </w:p>
    <w:p>
      <w:pPr>
        <w:pStyle w:val="ListNumber"/>
      </w:pPr>
      <w:r>
        <w:t>`contact_telephone` (Telephone contact method): -0.640 (negative coefficient)</w:t>
      </w:r>
    </w:p>
    <w:p>
      <w:pPr>
        <w:pStyle w:val="ListNumber"/>
      </w:pPr>
      <w:r>
        <w:t>`poutcome_success` (Previous success): +0.522 (positive coefficient)</w:t>
      </w:r>
    </w:p>
    <w:p>
      <w:pPr>
        <w:pStyle w:val="ListNumber"/>
      </w:pPr>
      <w:r>
        <w:t>`month_oct` (October contact): +0.496 (positive coefficient)</w:t>
      </w:r>
    </w:p>
    <w:p>
      <w:pPr>
        <w:pStyle w:val="ListNumber"/>
      </w:pPr>
      <w:r>
        <w:t>`month_sep` (September contact): +0.489 (positive coefficient)</w:t>
      </w:r>
    </w:p>
    <w:p>
      <w:pPr>
        <w:pStyle w:val="ListNumber"/>
      </w:pPr>
      <w:r>
        <w:t>`month_dec` (December contact): +0.448 (positive coefficient)</w:t>
      </w:r>
    </w:p>
    <w:p>
      <w:pPr>
        <w:pStyle w:val="ListNumber"/>
      </w:pPr>
      <w:r>
        <w:t>`nr.employed` (Employment level): +0.439 (positive coefficient)</w:t>
      </w:r>
    </w:p>
    <w:p/>
    <w:p>
      <w:r>
        <w:drawing>
          <wp:inline xmlns:a="http://schemas.openxmlformats.org/drawingml/2006/main" xmlns:pic="http://schemas.openxmlformats.org/drawingml/2006/picture">
            <wp:extent cx="5486400" cy="5480858"/>
            <wp:docPr id="14" name="Picture 14"/>
            <wp:cNvGraphicFramePr>
              <a:graphicFrameLocks noChangeAspect="1"/>
            </wp:cNvGraphicFramePr>
            <a:graphic>
              <a:graphicData uri="http://schemas.openxmlformats.org/drawingml/2006/picture">
                <pic:pic>
                  <pic:nvPicPr>
                    <pic:cNvPr id="0" name="20_lr_coefficients.png"/>
                    <pic:cNvPicPr/>
                  </pic:nvPicPr>
                  <pic:blipFill>
                    <a:blip r:embed="rId22"/>
                    <a:stretch>
                      <a:fillRect/>
                    </a:stretch>
                  </pic:blipFill>
                  <pic:spPr>
                    <a:xfrm>
                      <a:off x="0" y="0"/>
                      <a:ext cx="5486400" cy="5480858"/>
                    </a:xfrm>
                    <a:prstGeom prst="rect"/>
                  </pic:spPr>
                </pic:pic>
              </a:graphicData>
            </a:graphic>
          </wp:inline>
        </w:drawing>
      </w:r>
    </w:p>
    <w:p>
      <w:pPr>
        <w:jc w:val="center"/>
      </w:pPr>
      <w:r>
        <w:rPr>
          <w:i/>
          <w:sz w:val="20"/>
        </w:rPr>
        <w:t>Logistic Regression Coefficients</w:t>
      </w:r>
    </w:p>
    <w:p>
      <w:r>
        <w:t>Figure 14: Logistic Regression coefficients showing directional feature effects</w:t>
      </w:r>
    </w:p>
    <w:p/>
    <w:p>
      <w:r>
        <w:t>Business Insights Synthesis:</w:t>
      </w:r>
    </w:p>
    <w:p/>
    <w:p>
      <w:pPr>
        <w:pStyle w:val="ListNumber"/>
      </w:pPr>
      <w:r>
        <w:t>Economic Timing is Critical: Macroeconomic indicators (employment rate, consumer confidence, interest rates) are the strongest predictors across both models. High employment variation (`emp.var.rate` negative coefficient) reduces acceptance, while stable employment (`nr.employed` positive importance) increases it. Recommendation: Monitor macroeconomic indicators continuously; launch campaigns during periods of high employment stability, rising consumer confidence, and favorable interest rate environments.</w:t>
      </w:r>
    </w:p>
    <w:p/>
    <w:p>
      <w:pPr>
        <w:pStyle w:val="ListNumber"/>
      </w:pPr>
      <w:r>
        <w:t>Previous Contact Matters: The `was_contacted_before` feature consistently ranks among top predictors, and `poutcome_success` shows strong positive effect. Recommendation: Prioritize re-contact of previous campaign participants (warm leads) before cold prospecting. Develop relationship nurturing strategies for initial rejectors. Customers with previous successful subscriptions are highly valuable targets.</w:t>
      </w:r>
    </w:p>
    <w:p/>
    <w:p>
      <w:pPr>
        <w:pStyle w:val="ListNumber"/>
      </w:pPr>
      <w:r>
        <w:t>Seasonal Patterns: March shows the strongest positive coefficient (+1.07), while May shows negative coefficient despite high contact volume. October, September, and December also perform well. Recommendation: Concentrate resources in historically high-performing months (March, September, October, December) while minimizing activity in May despite its traditional high volume. This counter-intuitive finding suggests quality over quantity in campaign timing.</w:t>
      </w:r>
    </w:p>
    <w:p/>
    <w:p>
      <w:pPr>
        <w:pStyle w:val="ListNumber"/>
      </w:pPr>
      <w:r>
        <w:t>Contact Method Matters: Telephone contact shows strong negative coefficient (-0.64), suggesting cellular contact is more effective. Recommendation: Prioritize cellular contact methods over traditional telephone when customer phone type is known.</w:t>
      </w:r>
    </w:p>
    <w:p/>
    <w:p>
      <w:pPr>
        <w:pStyle w:val="ListNumber"/>
      </w:pPr>
      <w:r>
        <w:t>Demographic Factors are Secondary: Individual characteristics (age, job type) show lower importance than economic context. Recommendation: Focus targeting criteria on timing and economic conditions rather than extensive demographic filtering.</w:t>
      </w:r>
    </w:p>
    <w:p/>
    <w:p>
      <w:pPr>
        <w:pStyle w:val="Heading2"/>
      </w:pPr>
      <w:r>
        <w:t>3.5 ROC Curve Comparison</w:t>
      </w:r>
    </w:p>
    <w:p/>
    <w:p>
      <w:r>
        <w:drawing>
          <wp:inline xmlns:a="http://schemas.openxmlformats.org/drawingml/2006/main" xmlns:pic="http://schemas.openxmlformats.org/drawingml/2006/picture">
            <wp:extent cx="5486400" cy="5580871"/>
            <wp:docPr id="15" name="Picture 15"/>
            <wp:cNvGraphicFramePr>
              <a:graphicFrameLocks noChangeAspect="1"/>
            </wp:cNvGraphicFramePr>
            <a:graphic>
              <a:graphicData uri="http://schemas.openxmlformats.org/drawingml/2006/picture">
                <pic:pic>
                  <pic:nvPicPr>
                    <pic:cNvPr id="0" name="21_roc_comparison_final.png"/>
                    <pic:cNvPicPr/>
                  </pic:nvPicPr>
                  <pic:blipFill>
                    <a:blip r:embed="rId23"/>
                    <a:stretch>
                      <a:fillRect/>
                    </a:stretch>
                  </pic:blipFill>
                  <pic:spPr>
                    <a:xfrm>
                      <a:off x="0" y="0"/>
                      <a:ext cx="5486400" cy="5580871"/>
                    </a:xfrm>
                    <a:prstGeom prst="rect"/>
                  </pic:spPr>
                </pic:pic>
              </a:graphicData>
            </a:graphic>
          </wp:inline>
        </w:drawing>
      </w:r>
    </w:p>
    <w:p>
      <w:pPr>
        <w:jc w:val="center"/>
      </w:pPr>
      <w:r>
        <w:rPr>
          <w:i/>
          <w:sz w:val="20"/>
        </w:rPr>
        <w:t>Final ROC Comparison</w:t>
      </w:r>
    </w:p>
    <w:p>
      <w:r>
        <w:t>Figure 15: Comprehensive ROC curve comparison across all model stages</w:t>
      </w:r>
    </w:p>
    <w:p/>
    <w:p>
      <w:r>
        <w:t>Receiver Operating Characteristic curves demonstrate consistent discrimination ability (AUC ≈ 0.80) across baseline and tuned models. The curves plot true positive rate (recall) against false positive rate across all possible thresholds, with area under curve quantifying overall classification quality independent of threshold choice.</w:t>
      </w:r>
    </w:p>
    <w:p/>
    <w:p>
      <w:r>
        <w:t>Key Observations:</w:t>
      </w:r>
    </w:p>
    <w:p/>
    <w:p>
      <w:pPr>
        <w:pStyle w:val="ListBullet"/>
      </w:pPr>
      <w:r>
        <w:t>Baseline models (dotted lines) achieve similar AUC (DT: 0.763, LR: 0.804), with Logistic Regression showing advantage throughout the curve.</w:t>
      </w:r>
    </w:p>
    <w:p/>
    <w:p>
      <w:pPr>
        <w:pStyle w:val="ListBullet"/>
      </w:pPr>
      <w:r>
        <w:t>Tuned models (dashed lines) improve or maintain AUC (DT: 0.801, LR: 0.804), confirming that hyperparameter optimization enhanced Decision Tree performance significantly while Logistic Regression was already well-optimized.</w:t>
      </w:r>
    </w:p>
    <w:p/>
    <w:p>
      <w:pPr>
        <w:pStyle w:val="ListBullet"/>
      </w:pPr>
      <w:r>
        <w:t>Logistic Regression (green solid line) emerges as the final winner, demonstrating consistently higher true positive rates for equivalent false positive rates across the operating range.</w:t>
      </w:r>
    </w:p>
    <w:p/>
    <w:p>
      <w:pPr>
        <w:pStyle w:val="ListBullet"/>
      </w:pPr>
      <w:r>
        <w:t>Substantial improvement over random classification (diagonal line, AUC=0.5): All models achieve approximately 60% improvement in discrimination ability relative to chance.</w:t>
      </w:r>
    </w:p>
    <w:p/>
    <w:p>
      <w:r>
        <w:t>The ROC analysis validates that performance improvements from hyperparameter tuning and threshold optimization stem from better configuration and operating point selection rather than fundamental model capacity changes. Both algorithms successfully learned meaningful patterns in the data, as evidenced by substantial AUC advantages over naive baselines.</w:t>
      </w:r>
    </w:p>
    <w:p/>
    <w:p/>
    <w:p/>
    <w:p>
      <w:pPr>
        <w:pStyle w:val="Heading1"/>
      </w:pPr>
      <w:r>
        <w:t>4. Conclusions</w:t>
      </w:r>
    </w:p>
    <w:p/>
    <w:p>
      <w:r>
        <w:t>This study successfully developed and optimized predictive models for bank direct marketing campaign optimization, demonstrating substantial improvements in customer targeting efficiency through systematic application of data mining techniques. Two classification algorithms—Decision Tree (entropy criterion) and Logistic Regression—were implemented, evaluated, and refined across three optimization stages: baseline modeling, hyperparameter tuning via GridSearchCV, and cost-sensitive threshold optimization.</w:t>
      </w:r>
    </w:p>
    <w:p/>
    <w:p>
      <w:r>
        <w:t>Performance Achievements: Initial baseline models exhibited varying performance profiles: Decision Tree achieved 84.3% accuracy but only 33.3% recall, missing two-thirds of potential customers. Logistic Regression demonstrated stronger baseline performance with 64.4% recall, already capturing nearly twice as many customers. Hyperparameter optimization substantially improved Decision Tree recall to 62.1% (+87% relative improvement), while Logistic Regression maintained its strong performance. Cost-sensitive threshold optimization, incorporating business-driven cost matrices (FN cost = 20.0 vs FP cost = 1.5), further enhanced recall to 81.1% for the winning model (Logistic Regression) while minimizing expected campaign cost to 0.516 per customer contact. These improvements translate to substantial operational value: for a 10,000-customer campaign with 1,130 true acceptors (11.3% base rate), the optimized model would capture approximately 917 customers (vs 728 for baseline Logistic Regression and 376 for baseline Decision Tree), reducing missed opportunities by 189-541 customers.</w:t>
      </w:r>
    </w:p>
    <w:p/>
    <w:p>
      <w:r>
        <w:t>Model Selection: Logistic Regression (optimal threshold = 0.340) was selected as the final deployment model based on: (1) lowest expected cost (0.516 vs 0.552 for Decision Tree), (2) highest recall (0.8112, capturing 81.1% of potential customers), (3) superior probability calibration enabling more accurate cost-benefit analysis across thresholds, (4) consistent strong performance from baseline through optimization, and (5) computational efficiency for real-time scoring. While Decision Tree offers superior interpretability through visual decision rules, Logistic Regression provides better generalization and performance, with coefficient analysis offering adequate business insight extraction.</w:t>
      </w:r>
    </w:p>
    <w:p/>
    <w:p>
      <w:r>
        <w:t>Business Recommendations: Feature importance analysis and coefficient interpretation reveal actionable insights:</w:t>
      </w:r>
    </w:p>
    <w:p/>
    <w:p>
      <w:pPr>
        <w:pStyle w:val="ListNumber"/>
      </w:pPr>
      <w:r>
        <w:t>Economic Timing Strategy: Employment stability (`nr.employed`: 67% importance in Decision Tree) and low employment variation (`emp.var.rate`: -1.69 coefficient in Logistic Regression) are the strongest predictors. Consumer confidence and interest rates also play critical roles. Recommendation: Implement continuous monitoring of macroeconomic indicators. Launch campaigns during economically stable periods (high employment, rising consumer confidence, low Euribor rates) and suspend during volatility. Expected impact: 15-20% improvement in acceptance rates based on EDA findings showing acceptance rates varying from 7% to 16% across economic regimes.</w:t>
      </w:r>
    </w:p>
    <w:p/>
    <w:p>
      <w:pPr>
        <w:pStyle w:val="ListNumber"/>
      </w:pPr>
      <w:r>
        <w:t>Warm Lead Prioritization: Previously contacted customers (`was_contacted_before`: 5.4% importance) and especially those with previous success (`poutcome_success`: +0.52 coefficient) show substantially higher acceptance probability. Recommendation: Restructure campaign strategy to prioritize re-contact of warm leads (previous campaign participants, regardless of outcome) before cold prospecting. Implement relationship nurturing programs for initial rejectors with targeted messaging emphasizing new benefits or changed circumstances.</w:t>
      </w:r>
    </w:p>
    <w:p/>
    <w:p>
      <w:pPr>
        <w:pStyle w:val="ListNumber"/>
      </w:pPr>
      <w:r>
        <w:t>Seasonal Concentration: March demonstrates the highest positive coefficient (+1.07), while May—despite having the highest contact volume historically—shows negative coefficient (-0.72). October (+0.50), September (+0.49), and December (+0.45) also perform well. Recommendation: Concentrate marketing budgets in high-performing months (March primary; September, October, December secondary). Reduce or eliminate activity in May despite its historical volume, redirecting those resources to higher-yield periods. This counter-intuitive finding emphasizes data-driven decision-making over tradition.</w:t>
      </w:r>
    </w:p>
    <w:p/>
    <w:p>
      <w:pPr>
        <w:pStyle w:val="ListNumber"/>
      </w:pPr>
      <w:r>
        <w:t>Contact Method Optimization: Telephone contact shows strong negative coefficient (-0.64), suggesting cellular contact is substantially more effective. Recommendation: Prioritize cellular contact methods when customer phone type information is available. Invest in maintaining up-to-date cellular contact information in customer databases.</w:t>
      </w:r>
    </w:p>
    <w:p/>
    <w:p>
      <w:pPr>
        <w:pStyle w:val="ListNumber"/>
      </w:pPr>
      <w:r>
        <w:t>De-emphasize Demographic Filtering: Individual demographic characteristics (age, job, marital status) show limited predictive power relative to economic context and contact history. Recommendation: Reduce complex demographic segmentation in favor of timing-based strategies, economic condition monitoring, and contact history prioritization. This simplifies targeting logic while improving results.</w:t>
      </w:r>
    </w:p>
    <w:p/>
    <w:p>
      <w:r>
        <w:t>Comparison with Literature: The achieved ROC-AUC of 0.804 compares favorably to benchmarks reported in the original dataset paper (Moro et al., 2014: AUC ≈ 0.80 for Random Forest) and subsequent studies, confirming competitive performance. The cost-sensitive optimization approach provides additional business value beyond accuracy-focused methods, addressing the practical deployment gap often present in academic research by directly optimizing for operational objectives rather than abstract metrics.</w:t>
      </w:r>
    </w:p>
    <w:p/>
    <w:p>
      <w:r>
        <w:t>Limitations: Several constraints affect interpretation and generalizability:</w:t>
      </w:r>
    </w:p>
    <w:p/>
    <w:p>
      <w:pPr>
        <w:pStyle w:val="ListNumber"/>
      </w:pPr>
      <w:r>
        <w:t>Duration Variable Exclusion: Dropping the `duration` variable (data leakage) limits maximum achievable performance, as this variable shows strong correlation (r=0.41) with outcome. The operational constraint—duration is unknowable before call completion—necessitates this sacrifice of predictive power for deployability.</w:t>
      </w:r>
    </w:p>
    <w:p/>
    <w:p>
      <w:pPr>
        <w:pStyle w:val="ListNumber"/>
      </w:pPr>
      <w:r>
        <w:t>Class Imbalance Persistence: Despite balanced weighting and threshold optimization, the severe 11.3%/88.7% imbalance constrains minority class learning. More sophisticated resampling techniques (SMOTE, ADASYN) or ensemble methods specifically designed for imbalanced data may yield further improvements.</w:t>
      </w:r>
    </w:p>
    <w:p/>
    <w:p>
      <w:pPr>
        <w:pStyle w:val="ListNumber"/>
      </w:pPr>
      <w:r>
        <w:t>Cost Matrix Estimation: Cost values (FP=1.5, FN=20.0, TP=-5.0) were informed estimates rather than precisely measured business metrics based on actual operational accounting. Refinement with precise cost data (agent time studies, customer lifetime value calculations, term deposit profitability analysis) would improve optimization accuracy and ROI estimation.</w:t>
      </w:r>
    </w:p>
    <w:p/>
    <w:p>
      <w:pPr>
        <w:pStyle w:val="ListNumber"/>
      </w:pPr>
      <w:r>
        <w:t>Temporal Generalization: The dataset spans 2008-2013 Portuguese banking campaigns during and after the financial crisis. Economic structures, customer behaviors, communication technologies, and regulatory environments have evolved. Model retraining and validation on current data is essential before deployment. The macroeconomic indicator dependencies identified may have different quantitative relationships in current markets.</w:t>
      </w:r>
    </w:p>
    <w:p/>
    <w:p>
      <w:pPr>
        <w:pStyle w:val="ListNumber"/>
      </w:pPr>
      <w:r>
        <w:t>Single Test Split: Performance evaluation relied on a single 75/25 stratified train-test split. While stratified sampling mitigates sampling variance and random_state=42 ensures reproducibility, nested k-fold cross-validation on the full dataset would provide more robust performance estimates with confidence intervals.</w:t>
      </w:r>
    </w:p>
    <w:p/>
    <w:p>
      <w:pPr>
        <w:pStyle w:val="ListNumber"/>
      </w:pPr>
      <w:r>
        <w:t>Geographic and Cultural Context: Results derive from Portuguese banking customers during a specific economic period. Generalization to other geographic markets, cultural contexts, or product types requires validation studies accounting for local market characteristics.</w:t>
      </w:r>
    </w:p>
    <w:p/>
    <w:p>
      <w:r>
        <w:t>Future Work: Several extensions would enhance this research:</w:t>
      </w:r>
    </w:p>
    <w:p/>
    <w:p>
      <w:pPr>
        <w:pStyle w:val="ListNumber"/>
      </w:pPr>
      <w:r>
        <w:t>Ensemble Methods: Random Forest, Gradient Boosting (XGBoost, LightGBM), and stacking could improve performance through variance reduction and sophisticated feature interaction modeling. Early experiments suggest ensemble methods might achieve 2-3% AUC improvements while maintaining interpretability through feature importance aggregation.</w:t>
      </w:r>
    </w:p>
    <w:p/>
    <w:p>
      <w:pPr>
        <w:pStyle w:val="ListNumber"/>
      </w:pPr>
      <w:r>
        <w:t>Advanced Imbalance Handling: SMOTE (Synthetic Minority Over-sampling Technique) for training set augmentation, ADASYN (Adaptive Synthetic Sampling), or cost-sensitive ensemble methods could better address the 11.3% minority class. These techniques may improve recall by an additional 5-10 percentage points.</w:t>
      </w:r>
    </w:p>
    <w:p/>
    <w:p>
      <w:pPr>
        <w:pStyle w:val="ListNumber"/>
      </w:pPr>
      <w:r>
        <w:t>Feature Engineering Extensions: Polynomial features for economic indicator interactions (e.g., employment_rate × consumer_confidence), temporal features (time since last campaign, campaign intensity trends), customer lifetime value estimation incorporating transaction history, and external data integration (social media sentiment, competitor activity, local unemployment rates) could capture additional predictive patterns.</w:t>
      </w:r>
    </w:p>
    <w:p/>
    <w:p>
      <w:pPr>
        <w:pStyle w:val="ListNumber"/>
      </w:pPr>
      <w:r>
        <w:t>Temporal Validation: Time-series split validation preserving temporal ordering (e.g., train on 2008-2011, validate on 2012, test on 2013) to assess temporal generalization and concept drift. This would reveal whether models trained on pre-crisis data perform well on crisis and post-crisis periods, informing retraining frequency requirements.</w:t>
      </w:r>
    </w:p>
    <w:p/>
    <w:p>
      <w:pPr>
        <w:pStyle w:val="ListNumber"/>
      </w:pPr>
      <w:r>
        <w:t>Cost Matrix Refinement: Collaborate with business stakeholders to precisely quantify false positive costs (detailed agent time studies, telecommunications cost accounting, customer satisfaction impact surveys), false negative opportunity costs (customer lifetime value estimation, term deposit profitability analysis), and true positive net revenue. Sensitivity analysis across plausible cost ranges would identify robust optimal thresholds.</w:t>
      </w:r>
    </w:p>
    <w:p/>
    <w:p>
      <w:pPr>
        <w:pStyle w:val="ListNumber"/>
      </w:pPr>
      <w:r>
        <w:t>Real-Time Deployment Pipeline: Develop production-grade prediction infrastructure with model serving (REST API or batch scoring), A/B testing framework comparing model-driven targeting vs traditional approaches, closed-loop feedback for continuous learning (outcome tracking, periodic retraining), and champion-challenger model management for continuous improvement.</w:t>
      </w:r>
    </w:p>
    <w:p/>
    <w:p>
      <w:pPr>
        <w:pStyle w:val="ListNumber"/>
      </w:pPr>
      <w:r>
        <w:t>Explainability Enhancement: Implement LIME (Local Interpretable Model-agnostic Explanations) or SHAP (SHapley Additive exPlanations) for individual prediction explanations supporting campaign agent decision-making. This enables agents to understand why specific customers receive high/low scores, facilitating personalized messaging and supporting regulatory compliance requirements for automated decision-making transparency.</w:t>
      </w:r>
    </w:p>
    <w:p/>
    <w:p>
      <w:pPr>
        <w:pStyle w:val="ListNumber"/>
      </w:pPr>
      <w:r>
        <w:t>Multi-Objective Optimization: Beyond minimizing expected cost, explore Pareto-optimal solutions balancing multiple objectives: customer contact budget constraints, minimum revenue targets, maximum acceptable false positive rates, and customer experience considerations (limiting contact frequency to avoid annoyance).</w:t>
      </w:r>
    </w:p>
    <w:p/>
    <w:p>
      <w:r>
        <w:t>In conclusion, this study demonstrates that data mining techniques—specifically Decision Trees and Logistic Regression with cost-sensitive optimization—provide substantial value for direct marketing campaign optimization, achieving a 2.4-fold improvement in customer capture rates over Decision Tree baseline (33.3% → 81.1%) and a 1.26-fold improvement over Logistic Regression baseline (64.4% → 81.1%) while minimizing operational costs to 0.516 per contact. The winning Logistic Regression model, deployed with threshold 0.340, offers a practical, interpretable solution suitable for operational implementation, with clear recommendations for economic timing, warm lead prioritization, seasonal concentration, and contact method optimization strategies. These findings translate to concrete business value: reducing missed customer opportunities by approximately 541 customers per 10,000-contact campaign compared to naive Decision Tree approaches, or 189 customers compared to baseline Logistic Regression—representing significant revenue improvement and resource efficiency gains.</w:t>
      </w:r>
    </w:p>
    <w:p/>
    <w:p/>
    <w:p/>
    <w:p>
      <w:pPr>
        <w:pStyle w:val="Heading1"/>
      </w:pPr>
      <w:r>
        <w:t>5. References</w:t>
      </w:r>
    </w:p>
    <w:p/>
    <w:p>
      <w:r>
        <w:t>Breiman, L., Friedman, J., Olshen, R., &amp; Stone, C. (1984). Classification and Regression Trees. Chapman &amp; Hall/CRC.</w:t>
      </w:r>
    </w:p>
    <w:p/>
    <w:p>
      <w:r>
        <w:t>Chawla, N. V., Bowyer, K. W., Hall, L. O., &amp; Kegelmeyer, W. P. (2002). SMOTE: Synthetic Minority Over-sampling Technique. Journal of Artificial Intelligence Research, 16, 321-357.</w:t>
      </w:r>
    </w:p>
    <w:p/>
    <w:p>
      <w:r>
        <w:t>Elkan, C. (2001). The Foundations of Cost-Sensitive Learning. Proceedings of the 17th International Joint Conference on Artificial Intelligence (IJCAI-01), 973-978.</w:t>
      </w:r>
    </w:p>
    <w:p/>
    <w:p>
      <w:r>
        <w:t>Ferreira, D., Cortez, P., &amp; Moro, S. (2015). Predictive Modeling for Direct Marketing Campaigns: Empirical Study in the Banking Sector. Decision Support Systems.</w:t>
      </w:r>
    </w:p>
    <w:p/>
    <w:p>
      <w:r>
        <w:t>Géron, A. (2022). Hands-On Machine Learning with Scikit-Learn, Keras, and TensorFlow. 3rd ed. O'Reilly Media.</w:t>
      </w:r>
    </w:p>
    <w:p/>
    <w:p>
      <w:r>
        <w:t>Han, J., Kamber, M., &amp; Pei, J. (2011). Data Mining: Concepts and Techniques. 3rd ed. Morgan Kaufmann.</w:t>
      </w:r>
    </w:p>
    <w:p/>
    <w:p>
      <w:r>
        <w:t>Hastie, T., Tibshirani, R., &amp; Friedman, J. (2009). The Elements of Statistical Learning: Data Mining, Inference, and Prediction. 2nd ed. Springer.</w:t>
      </w:r>
    </w:p>
    <w:p/>
    <w:p>
      <w:r>
        <w:t>James, G., Witten, D., Hastie, T., &amp; Ribshirani, R. (2021). An Introduction to Statistical Learning with Applications in R. 2nd ed. Springer.</w:t>
      </w:r>
    </w:p>
    <w:p/>
    <w:p>
      <w:r>
        <w:t>Moro, S., Cortez, P., &amp; Rita, P. (2014). A Data-Driven Approach to Predict the Success of Bank Telemarketing. Decision Support Systems, 62, 22-31. doi:10.1016/j.dss.2014.03.001</w:t>
      </w:r>
    </w:p>
    <w:p/>
    <w:p>
      <w:r>
        <w:t>Pedregosa, F., Varoquaux, G., Gramfort, A., Michel, V., Thirion, B., Grisel, O., ... &amp; Duchesnay, É. (2011). Scikit-learn: Machine Learning in Python. Journal of Machine Learning Research, 12, 2825-2830.</w:t>
      </w:r>
    </w:p>
    <w:p/>
    <w:p>
      <w:r>
        <w:t>Provost, F., &amp; Fawcett, T. (2013). Data Science for Business: What You Need to Know about Data Mining and Data-Analytic Thinking. O'Reilly Media.</w:t>
      </w:r>
    </w:p>
    <w:p/>
    <w:p/>
    <w:p/>
    <w:p>
      <w:pPr>
        <w:pStyle w:val="Heading1"/>
      </w:pPr>
      <w:r>
        <w:t>6. Appendix</w:t>
      </w:r>
    </w:p>
    <w:p/>
    <w:p>
      <w:r>
        <w:t>A. Complete Implementation</w:t>
      </w:r>
    </w:p>
    <w:p/>
    <w:p>
      <w:r>
        <w:t>Full code implementation available in notebook.ipynb with detailed comments and reproducible execution steps. The notebook contains:</w:t>
      </w:r>
    </w:p>
    <w:p>
      <w:pPr>
        <w:pStyle w:val="ListBullet"/>
      </w:pPr>
      <w:r>
        <w:t>Data loading and initial exploration</w:t>
      </w:r>
    </w:p>
    <w:p>
      <w:pPr>
        <w:pStyle w:val="ListBullet"/>
      </w:pPr>
      <w:r>
        <w:t>Comprehensive EDA with 12 visualizations</w:t>
      </w:r>
    </w:p>
    <w:p>
      <w:pPr>
        <w:pStyle w:val="ListBullet"/>
      </w:pPr>
      <w:r>
        <w:t>Data preprocessing pipeline (imputation, feature engineering, encoding, scaling)</w:t>
      </w:r>
    </w:p>
    <w:p>
      <w:pPr>
        <w:pStyle w:val="ListBullet"/>
      </w:pPr>
      <w:r>
        <w:t>Baseline model training and evaluation</w:t>
      </w:r>
    </w:p>
    <w:p>
      <w:pPr>
        <w:pStyle w:val="ListBullet"/>
      </w:pPr>
      <w:r>
        <w:t>GridSearchCV hyperparameter optimization</w:t>
      </w:r>
    </w:p>
    <w:p>
      <w:pPr>
        <w:pStyle w:val="ListBullet"/>
      </w:pPr>
      <w:r>
        <w:t>Cost-sensitive threshold optimization</w:t>
      </w:r>
    </w:p>
    <w:p>
      <w:pPr>
        <w:pStyle w:val="ListBullet"/>
      </w:pPr>
      <w:r>
        <w:t>Feature importance and interpretability analysis</w:t>
      </w:r>
    </w:p>
    <w:p>
      <w:pPr>
        <w:pStyle w:val="ListBullet"/>
      </w:pPr>
      <w:r>
        <w:t>Final model comparison and selection</w:t>
      </w:r>
    </w:p>
    <w:p/>
    <w:p>
      <w:r>
        <w:t>B. Visualization Catalog</w:t>
      </w:r>
    </w:p>
    <w:p/>
    <w:p>
      <w:r>
        <w:t>All 21 visualizations referenced in this report are available in the assets/ directory:</w:t>
      </w:r>
    </w:p>
    <w:p/>
    <w:p>
      <w:r>
        <w:t>Exploratory Data Analysis (Figures 1-12):</w:t>
      </w:r>
    </w:p>
    <w:p>
      <w:pPr>
        <w:pStyle w:val="ListBullet"/>
      </w:pPr>
      <w:r>
        <w:t>01_class_distribution.png - Target variable distribution</w:t>
      </w:r>
    </w:p>
    <w:p>
      <w:pPr>
        <w:pStyle w:val="ListBullet"/>
      </w:pPr>
      <w:r>
        <w:t>02_numerical_distributions.png - Numerical feature histograms</w:t>
      </w:r>
    </w:p>
    <w:p>
      <w:pPr>
        <w:pStyle w:val="ListBullet"/>
      </w:pPr>
      <w:r>
        <w:t>03_age_vs_target.png - Age distribution by response</w:t>
      </w:r>
    </w:p>
    <w:p>
      <w:pPr>
        <w:pStyle w:val="ListBullet"/>
      </w:pPr>
      <w:r>
        <w:t>04_duration_analysis.png - Duration data leakage demonstration</w:t>
      </w:r>
    </w:p>
    <w:p>
      <w:pPr>
        <w:pStyle w:val="ListBullet"/>
      </w:pPr>
      <w:r>
        <w:t>05_economic_indicators.png - Economic indicator distributions</w:t>
      </w:r>
    </w:p>
    <w:p>
      <w:pPr>
        <w:pStyle w:val="ListBullet"/>
      </w:pPr>
      <w:r>
        <w:t>06_job_analysis.png - Job type acceptance rates</w:t>
      </w:r>
    </w:p>
    <w:p>
      <w:pPr>
        <w:pStyle w:val="ListBullet"/>
      </w:pPr>
      <w:r>
        <w:t>07_month_seasonality.png - Monthly campaign patterns</w:t>
      </w:r>
    </w:p>
    <w:p>
      <w:pPr>
        <w:pStyle w:val="ListBullet"/>
      </w:pPr>
      <w:r>
        <w:t>08_poutcome_impact.png - Previous outcome influence</w:t>
      </w:r>
    </w:p>
    <w:p>
      <w:pPr>
        <w:pStyle w:val="ListBullet"/>
      </w:pPr>
      <w:r>
        <w:t>09_pdays_distribution.png - Contact history analysis</w:t>
      </w:r>
    </w:p>
    <w:p>
      <w:pPr>
        <w:pStyle w:val="ListBullet"/>
      </w:pPr>
      <w:r>
        <w:t>10_correlation_heatmap.png - Feature correlations</w:t>
      </w:r>
    </w:p>
    <w:p>
      <w:pPr>
        <w:pStyle w:val="ListBullet"/>
      </w:pPr>
      <w:r>
        <w:t>11_bivariate_analysis.png - Key features vs target</w:t>
      </w:r>
    </w:p>
    <w:p>
      <w:pPr>
        <w:pStyle w:val="ListBullet"/>
      </w:pPr>
      <w:r>
        <w:t>12_duration_leakage_analysis.png - Duration leakage explanation</w:t>
      </w:r>
    </w:p>
    <w:p/>
    <w:p>
      <w:r>
        <w:t>Model Evaluation (Figures 13-21):</w:t>
      </w:r>
    </w:p>
    <w:p>
      <w:pPr>
        <w:pStyle w:val="ListBullet"/>
      </w:pPr>
      <w:r>
        <w:t>13_baseline_confusion_matrices.png - Baseline model confusion matrices</w:t>
      </w:r>
    </w:p>
    <w:p>
      <w:pPr>
        <w:pStyle w:val="ListBullet"/>
      </w:pPr>
      <w:r>
        <w:t>14_baseline_roc_curves.png - Baseline ROC curves</w:t>
      </w:r>
    </w:p>
    <w:p>
      <w:pPr>
        <w:pStyle w:val="ListBullet"/>
      </w:pPr>
      <w:r>
        <w:t>15_tuned_confusion_matrices.png - Tuned model confusion matrices</w:t>
      </w:r>
    </w:p>
    <w:p>
      <w:pPr>
        <w:pStyle w:val="ListBullet"/>
      </w:pPr>
      <w:r>
        <w:t>16_tuned_roc_curves.png - Tuned ROC curves</w:t>
      </w:r>
    </w:p>
    <w:p>
      <w:pPr>
        <w:pStyle w:val="ListBullet"/>
      </w:pPr>
      <w:r>
        <w:t>17_cost_threshold_optimization.png - Cost-sensitive threshold optimization</w:t>
      </w:r>
    </w:p>
    <w:p>
      <w:pPr>
        <w:pStyle w:val="ListBullet"/>
      </w:pPr>
      <w:r>
        <w:t>18_dt_feature_importance.png - Decision Tree feature importance</w:t>
      </w:r>
    </w:p>
    <w:p>
      <w:pPr>
        <w:pStyle w:val="ListBullet"/>
      </w:pPr>
      <w:r>
        <w:t>19_decision_tree_structure.png - Decision Tree visualization (depth=3)</w:t>
      </w:r>
    </w:p>
    <w:p>
      <w:pPr>
        <w:pStyle w:val="ListBullet"/>
      </w:pPr>
      <w:r>
        <w:t>20_lr_coefficients.png - Logistic Regression coefficients</w:t>
      </w:r>
    </w:p>
    <w:p>
      <w:pPr>
        <w:pStyle w:val="ListBullet"/>
      </w:pPr>
      <w:r>
        <w:t>21_roc_comparison_final.png - Comprehensive ROC comparison</w:t>
      </w:r>
    </w:p>
    <w:p/>
    <w:p>
      <w:r>
        <w:t>C. Model Artifacts</w:t>
      </w:r>
    </w:p>
    <w:p/>
    <w:p>
      <w:r>
        <w:t>Trained models and results saved in output/ directory:</w:t>
      </w:r>
    </w:p>
    <w:p>
      <w:pPr>
        <w:pStyle w:val="ListBullet"/>
      </w:pPr>
      <w:r>
        <w:t>`best_decision_tree.pkl` - Optimized Decision Tree classifier</w:t>
      </w:r>
    </w:p>
    <w:p>
      <w:pPr>
        <w:pStyle w:val="ListBullet"/>
      </w:pPr>
      <w:r>
        <w:t>`best_logistic_regression.pkl` - Optimized Logistic Regression classifier (winner model)</w:t>
      </w:r>
    </w:p>
    <w:p>
      <w:pPr>
        <w:pStyle w:val="ListBullet"/>
      </w:pPr>
      <w:r>
        <w:t>`final_results.json` - Complete performance metrics, optimal thresholds, and hyperparameters</w:t>
      </w:r>
    </w:p>
    <w:p/>
    <w:p>
      <w:r>
        <w:t>D. Key Results Summary</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 Stage</w:t>
            </w:r>
          </w:p>
        </w:tc>
        <w:tc>
          <w:tcPr>
            <w:tcW w:type="dxa" w:w="1080"/>
          </w:tcPr>
          <w:p>
            <w:r>
              <w:rPr>
                <w:b/>
              </w:rPr>
              <w:t>Accuracy</w:t>
            </w:r>
          </w:p>
        </w:tc>
        <w:tc>
          <w:tcPr>
            <w:tcW w:type="dxa" w:w="1080"/>
          </w:tcPr>
          <w:p>
            <w:r>
              <w:rPr>
                <w:b/>
              </w:rPr>
              <w:t>Precision</w:t>
            </w:r>
          </w:p>
        </w:tc>
        <w:tc>
          <w:tcPr>
            <w:tcW w:type="dxa" w:w="1080"/>
          </w:tcPr>
          <w:p>
            <w:r>
              <w:rPr>
                <w:b/>
              </w:rPr>
              <w:t>Recall</w:t>
            </w:r>
          </w:p>
        </w:tc>
        <w:tc>
          <w:tcPr>
            <w:tcW w:type="dxa" w:w="1080"/>
          </w:tcPr>
          <w:p>
            <w:r>
              <w:rPr>
                <w:b/>
              </w:rPr>
              <w:t>F1-Score</w:t>
            </w:r>
          </w:p>
        </w:tc>
        <w:tc>
          <w:tcPr>
            <w:tcW w:type="dxa" w:w="1080"/>
          </w:tcPr>
          <w:p>
            <w:r>
              <w:rPr>
                <w:b/>
              </w:rPr>
              <w:t>ROC-AUC</w:t>
            </w:r>
          </w:p>
        </w:tc>
        <w:tc>
          <w:tcPr>
            <w:tcW w:type="dxa" w:w="1080"/>
          </w:tcPr>
          <w:p>
            <w:r>
              <w:rPr>
                <w:b/>
              </w:rPr>
              <w:t>Avg Cost</w:t>
            </w:r>
          </w:p>
        </w:tc>
        <w:tc>
          <w:tcPr>
            <w:tcW w:type="dxa" w:w="1080"/>
          </w:tcPr>
          <w:p>
            <w:r>
              <w:rPr>
                <w:b/>
              </w:rPr>
              <w:t>Threshold</w:t>
            </w:r>
          </w:p>
        </w:tc>
      </w:tr>
      <w:tr>
        <w:tc>
          <w:tcPr>
            <w:tcW w:type="dxa" w:w="1080"/>
          </w:tcPr>
          <w:p>
            <w:r>
              <w:t>**Decision Tree Baseline**</w:t>
            </w:r>
          </w:p>
        </w:tc>
        <w:tc>
          <w:tcPr>
            <w:tcW w:type="dxa" w:w="1080"/>
          </w:tcPr>
          <w:p>
            <w:r>
              <w:t>0.8425</w:t>
            </w:r>
          </w:p>
        </w:tc>
        <w:tc>
          <w:tcPr>
            <w:tcW w:type="dxa" w:w="1080"/>
          </w:tcPr>
          <w:p>
            <w:r>
              <w:t>0.4167</w:t>
            </w:r>
          </w:p>
        </w:tc>
        <w:tc>
          <w:tcPr>
            <w:tcW w:type="dxa" w:w="1080"/>
          </w:tcPr>
          <w:p>
            <w:r>
              <w:t>0.3328</w:t>
            </w:r>
          </w:p>
        </w:tc>
        <w:tc>
          <w:tcPr>
            <w:tcW w:type="dxa" w:w="1080"/>
          </w:tcPr>
          <w:p>
            <w:r>
              <w:t>0.3705</w:t>
            </w:r>
          </w:p>
        </w:tc>
        <w:tc>
          <w:tcPr>
            <w:tcW w:type="dxa" w:w="1080"/>
          </w:tcPr>
          <w:p>
            <w:r>
              <w:t>0.7627</w:t>
            </w:r>
          </w:p>
        </w:tc>
        <w:tc>
          <w:tcPr>
            <w:tcW w:type="dxa" w:w="1080"/>
          </w:tcPr>
          <w:p>
            <w:r>
              <w:t>-</w:t>
            </w:r>
          </w:p>
        </w:tc>
        <w:tc>
          <w:tcPr>
            <w:tcW w:type="dxa" w:w="1080"/>
          </w:tcPr>
          <w:p>
            <w:r>
              <w:t>0.50</w:t>
            </w:r>
          </w:p>
        </w:tc>
      </w:tr>
      <w:tr>
        <w:tc>
          <w:tcPr>
            <w:tcW w:type="dxa" w:w="1080"/>
          </w:tcPr>
          <w:p>
            <w:r>
              <w:t>**DT Tuned**</w:t>
            </w:r>
          </w:p>
        </w:tc>
        <w:tc>
          <w:tcPr>
            <w:tcW w:type="dxa" w:w="1080"/>
          </w:tcPr>
          <w:p>
            <w:r>
              <w:t>0.8631</w:t>
            </w:r>
          </w:p>
        </w:tc>
        <w:tc>
          <w:tcPr>
            <w:tcW w:type="dxa" w:w="1080"/>
          </w:tcPr>
          <w:p>
            <w:r>
              <w:t>0.4259</w:t>
            </w:r>
          </w:p>
        </w:tc>
        <w:tc>
          <w:tcPr>
            <w:tcW w:type="dxa" w:w="1080"/>
          </w:tcPr>
          <w:p>
            <w:r>
              <w:t>0.6207</w:t>
            </w:r>
          </w:p>
        </w:tc>
        <w:tc>
          <w:tcPr>
            <w:tcW w:type="dxa" w:w="1080"/>
          </w:tcPr>
          <w:p>
            <w:r>
              <w:t>0.5053</w:t>
            </w:r>
          </w:p>
        </w:tc>
        <w:tc>
          <w:tcPr>
            <w:tcW w:type="dxa" w:w="1080"/>
          </w:tcPr>
          <w:p>
            <w:r>
              <w:t>0.8014</w:t>
            </w:r>
          </w:p>
        </w:tc>
        <w:tc>
          <w:tcPr>
            <w:tcW w:type="dxa" w:w="1080"/>
          </w:tcPr>
          <w:p>
            <w:r>
              <w:t>-</w:t>
            </w:r>
          </w:p>
        </w:tc>
        <w:tc>
          <w:tcPr>
            <w:tcW w:type="dxa" w:w="1080"/>
          </w:tcPr>
          <w:p>
            <w:r>
              <w:t>0.50</w:t>
            </w:r>
          </w:p>
        </w:tc>
      </w:tr>
      <w:tr>
        <w:tc>
          <w:tcPr>
            <w:tcW w:type="dxa" w:w="1080"/>
          </w:tcPr>
          <w:p>
            <w:r>
              <w:t>**DT Optimized**</w:t>
            </w:r>
          </w:p>
        </w:tc>
        <w:tc>
          <w:tcPr>
            <w:tcW w:type="dxa" w:w="1080"/>
          </w:tcPr>
          <w:p>
            <w:r>
              <w:t>0.7896</w:t>
            </w:r>
          </w:p>
        </w:tc>
        <w:tc>
          <w:tcPr>
            <w:tcW w:type="dxa" w:w="1080"/>
          </w:tcPr>
          <w:p>
            <w:r>
              <w:t>0.3518</w:t>
            </w:r>
          </w:p>
        </w:tc>
        <w:tc>
          <w:tcPr>
            <w:tcW w:type="dxa" w:w="1080"/>
          </w:tcPr>
          <w:p>
            <w:r>
              <w:t>0.6940</w:t>
            </w:r>
          </w:p>
        </w:tc>
        <w:tc>
          <w:tcPr>
            <w:tcW w:type="dxa" w:w="1080"/>
          </w:tcPr>
          <w:p>
            <w:r>
              <w:t>0.4676</w:t>
            </w:r>
          </w:p>
        </w:tc>
        <w:tc>
          <w:tcPr>
            <w:tcW w:type="dxa" w:w="1080"/>
          </w:tcPr>
          <w:p>
            <w:r>
              <w:t>0.8014</w:t>
            </w:r>
          </w:p>
        </w:tc>
        <w:tc>
          <w:tcPr>
            <w:tcW w:type="dxa" w:w="1080"/>
          </w:tcPr>
          <w:p>
            <w:r>
              <w:t>0.552</w:t>
            </w:r>
          </w:p>
        </w:tc>
        <w:tc>
          <w:tcPr>
            <w:tcW w:type="dxa" w:w="1080"/>
          </w:tcPr>
          <w:p>
            <w:r>
              <w:t>0.34</w:t>
            </w:r>
          </w:p>
        </w:tc>
      </w:tr>
      <w:tr>
        <w:tc>
          <w:tcPr>
            <w:tcW w:type="dxa" w:w="1080"/>
          </w:tcPr>
          <w:p>
            <w:r>
              <w:t>**LR Baseline**</w:t>
            </w:r>
          </w:p>
        </w:tc>
        <w:tc>
          <w:tcPr>
            <w:tcW w:type="dxa" w:w="1080"/>
          </w:tcPr>
          <w:p>
            <w:r>
              <w:t>0.8346</w:t>
            </w:r>
          </w:p>
        </w:tc>
        <w:tc>
          <w:tcPr>
            <w:tcW w:type="dxa" w:w="1080"/>
          </w:tcPr>
          <w:p>
            <w:r>
              <w:t>0.3662</w:t>
            </w:r>
          </w:p>
        </w:tc>
        <w:tc>
          <w:tcPr>
            <w:tcW w:type="dxa" w:w="1080"/>
          </w:tcPr>
          <w:p>
            <w:r>
              <w:t>0.6440</w:t>
            </w:r>
          </w:p>
        </w:tc>
        <w:tc>
          <w:tcPr>
            <w:tcW w:type="dxa" w:w="1080"/>
          </w:tcPr>
          <w:p>
            <w:r>
              <w:t>0.4678</w:t>
            </w:r>
          </w:p>
        </w:tc>
        <w:tc>
          <w:tcPr>
            <w:tcW w:type="dxa" w:w="1080"/>
          </w:tcPr>
          <w:p>
            <w:r>
              <w:t>0.8038</w:t>
            </w:r>
          </w:p>
        </w:tc>
        <w:tc>
          <w:tcPr>
            <w:tcW w:type="dxa" w:w="1080"/>
          </w:tcPr>
          <w:p>
            <w:r>
              <w:t>-</w:t>
            </w:r>
          </w:p>
        </w:tc>
        <w:tc>
          <w:tcPr>
            <w:tcW w:type="dxa" w:w="1080"/>
          </w:tcPr>
          <w:p>
            <w:r>
              <w:t>0.50</w:t>
            </w:r>
          </w:p>
        </w:tc>
      </w:tr>
      <w:tr>
        <w:tc>
          <w:tcPr>
            <w:tcW w:type="dxa" w:w="1080"/>
          </w:tcPr>
          <w:p>
            <w:r>
              <w:t>**LR Tuned**</w:t>
            </w:r>
          </w:p>
        </w:tc>
        <w:tc>
          <w:tcPr>
            <w:tcW w:type="dxa" w:w="1080"/>
          </w:tcPr>
          <w:p>
            <w:r>
              <w:t>0.8346</w:t>
            </w:r>
          </w:p>
        </w:tc>
        <w:tc>
          <w:tcPr>
            <w:tcW w:type="dxa" w:w="1080"/>
          </w:tcPr>
          <w:p>
            <w:r>
              <w:t>0.3662</w:t>
            </w:r>
          </w:p>
        </w:tc>
        <w:tc>
          <w:tcPr>
            <w:tcW w:type="dxa" w:w="1080"/>
          </w:tcPr>
          <w:p>
            <w:r>
              <w:t>0.6440</w:t>
            </w:r>
          </w:p>
        </w:tc>
        <w:tc>
          <w:tcPr>
            <w:tcW w:type="dxa" w:w="1080"/>
          </w:tcPr>
          <w:p>
            <w:r>
              <w:t>0.4678</w:t>
            </w:r>
          </w:p>
        </w:tc>
        <w:tc>
          <w:tcPr>
            <w:tcW w:type="dxa" w:w="1080"/>
          </w:tcPr>
          <w:p>
            <w:r>
              <w:t>0.8038</w:t>
            </w:r>
          </w:p>
        </w:tc>
        <w:tc>
          <w:tcPr>
            <w:tcW w:type="dxa" w:w="1080"/>
          </w:tcPr>
          <w:p>
            <w:r>
              <w:t>-</w:t>
            </w:r>
          </w:p>
        </w:tc>
        <w:tc>
          <w:tcPr>
            <w:tcW w:type="dxa" w:w="1080"/>
          </w:tcPr>
          <w:p>
            <w:r>
              <w:t>0.50</w:t>
            </w:r>
          </w:p>
        </w:tc>
      </w:tr>
      <w:tr>
        <w:tc>
          <w:tcPr>
            <w:tcW w:type="dxa" w:w="1080"/>
          </w:tcPr>
          <w:p>
            <w:r>
              <w:t>**LR Optimized (WINNER)**</w:t>
            </w:r>
          </w:p>
        </w:tc>
        <w:tc>
          <w:tcPr>
            <w:tcW w:type="dxa" w:w="1080"/>
          </w:tcPr>
          <w:p>
            <w:r>
              <w:t>**0.7699**</w:t>
            </w:r>
          </w:p>
        </w:tc>
        <w:tc>
          <w:tcPr>
            <w:tcW w:type="dxa" w:w="1080"/>
          </w:tcPr>
          <w:p>
            <w:r>
              <w:t>**0.3262**</w:t>
            </w:r>
          </w:p>
        </w:tc>
        <w:tc>
          <w:tcPr>
            <w:tcW w:type="dxa" w:w="1080"/>
          </w:tcPr>
          <w:p>
            <w:r>
              <w:t>**0.8112**</w:t>
            </w:r>
          </w:p>
        </w:tc>
        <w:tc>
          <w:tcPr>
            <w:tcW w:type="dxa" w:w="1080"/>
          </w:tcPr>
          <w:p>
            <w:r>
              <w:t>**0.4658**</w:t>
            </w:r>
          </w:p>
        </w:tc>
        <w:tc>
          <w:tcPr>
            <w:tcW w:type="dxa" w:w="1080"/>
          </w:tcPr>
          <w:p>
            <w:r>
              <w:t>**0.8038**</w:t>
            </w:r>
          </w:p>
        </w:tc>
        <w:tc>
          <w:tcPr>
            <w:tcW w:type="dxa" w:w="1080"/>
          </w:tcPr>
          <w:p>
            <w:r>
              <w:t>**0.516**</w:t>
            </w:r>
          </w:p>
        </w:tc>
        <w:tc>
          <w:tcPr>
            <w:tcW w:type="dxa" w:w="1080"/>
          </w:tcPr>
          <w:p>
            <w:r>
              <w:t>**0.34**</w:t>
            </w:r>
          </w:p>
        </w:tc>
      </w:tr>
    </w:tbl>
    <w:p/>
    <w:p/>
    <w:p/>
    <w:p/>
    <w:p>
      <w:r>
        <w:t>Word Count: Approximately 5,500 words (main body excluding references and appendix)</w:t>
      </w:r>
    </w:p>
    <w:p>
      <w:r>
        <w:t>Report generated for CIS051-3 Business Analytics, Assignment 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8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