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4BBC8" w14:textId="77777777" w:rsidR="003336F6" w:rsidRDefault="003336F6" w:rsidP="003336F6">
      <w:r w:rsidRPr="00FE5A64">
        <w:rPr>
          <w:highlight w:val="lightGray"/>
        </w:rPr>
        <w:t xml:space="preserve">ACER approves the compliance </w:t>
      </w:r>
      <w:proofErr w:type="spellStart"/>
      <w:r w:rsidRPr="00FE5A64">
        <w:rPr>
          <w:highlight w:val="lightGray"/>
        </w:rPr>
        <w:t>programme</w:t>
      </w:r>
      <w:proofErr w:type="spellEnd"/>
      <w:r w:rsidRPr="00FE5A64">
        <w:rPr>
          <w:highlight w:val="lightGray"/>
        </w:rPr>
        <w:t xml:space="preserve"> of the single gas balancing operator in Belgium and Luxembourg</w:t>
      </w:r>
    </w:p>
    <w:p w14:paraId="50B4C936" w14:textId="77777777" w:rsidR="003336F6" w:rsidRDefault="003336F6" w:rsidP="003336F6"/>
    <w:p w14:paraId="4298097D" w14:textId="77777777" w:rsidR="003336F6" w:rsidRDefault="003336F6" w:rsidP="003336F6">
      <w:r>
        <w:t>17/10/2019</w:t>
      </w:r>
    </w:p>
    <w:p w14:paraId="5DB0D753" w14:textId="77777777" w:rsidR="003336F6" w:rsidRDefault="003336F6" w:rsidP="003336F6">
      <w:proofErr w:type="spellStart"/>
      <w:r>
        <w:t>TwitterFacebookLinkedInE</w:t>
      </w:r>
      <w:proofErr w:type="spellEnd"/>
      <w:r>
        <w:t>-mail</w:t>
      </w:r>
    </w:p>
    <w:p w14:paraId="64417FF7" w14:textId="77777777" w:rsidR="003336F6" w:rsidRDefault="003336F6" w:rsidP="003336F6">
      <w:r w:rsidRPr="00FE5A64">
        <w:rPr>
          <w:highlight w:val="lightGray"/>
        </w:rPr>
        <w:t xml:space="preserve">The European Union Agency for the Cooperation of Energy Regulators (ACER) published today its decision approving the compliance </w:t>
      </w:r>
      <w:proofErr w:type="spellStart"/>
      <w:r w:rsidRPr="00FE5A64">
        <w:rPr>
          <w:highlight w:val="lightGray"/>
        </w:rPr>
        <w:t>programme</w:t>
      </w:r>
      <w:proofErr w:type="spellEnd"/>
      <w:r w:rsidRPr="00FE5A64">
        <w:rPr>
          <w:highlight w:val="lightGray"/>
        </w:rPr>
        <w:t xml:space="preserve"> of the gas balancing operator </w:t>
      </w:r>
      <w:proofErr w:type="spellStart"/>
      <w:r w:rsidRPr="00FE5A64">
        <w:rPr>
          <w:highlight w:val="lightGray"/>
        </w:rPr>
        <w:t>Balansys</w:t>
      </w:r>
      <w:proofErr w:type="spellEnd"/>
      <w:r w:rsidRPr="00FE5A64">
        <w:rPr>
          <w:highlight w:val="lightGray"/>
        </w:rPr>
        <w:t xml:space="preserve"> SA., which is owned in equal shares by the Belgian and Luxembourgish Transmission System Operators (TSOs). ACER's approval is a key element in the further integration of the balancing markets of Belgium and Luxembourg.</w:t>
      </w:r>
    </w:p>
    <w:p w14:paraId="3FD70763" w14:textId="77777777" w:rsidR="003336F6" w:rsidRDefault="003336F6" w:rsidP="003336F6"/>
    <w:p w14:paraId="374346F1" w14:textId="77777777" w:rsidR="003336F6" w:rsidRDefault="003336F6" w:rsidP="003336F6">
      <w:r w:rsidRPr="00FE5A64">
        <w:rPr>
          <w:highlight w:val="darkGray"/>
        </w:rPr>
        <w:t xml:space="preserve">ACER's analysis showed that the compliance </w:t>
      </w:r>
      <w:proofErr w:type="spellStart"/>
      <w:r w:rsidRPr="00FE5A64">
        <w:rPr>
          <w:highlight w:val="darkGray"/>
        </w:rPr>
        <w:t>programme</w:t>
      </w:r>
      <w:proofErr w:type="spellEnd"/>
      <w:r w:rsidRPr="00FE5A64">
        <w:rPr>
          <w:highlight w:val="darkGray"/>
        </w:rPr>
        <w:t xml:space="preserve"> contained sufficient guarantees to exclude possible discriminatory and anticompetitive conduct on the part of </w:t>
      </w:r>
      <w:proofErr w:type="spellStart"/>
      <w:r w:rsidRPr="00FE5A64">
        <w:rPr>
          <w:highlight w:val="darkGray"/>
        </w:rPr>
        <w:t>Balansys</w:t>
      </w:r>
      <w:proofErr w:type="spellEnd"/>
      <w:r>
        <w:t xml:space="preserve">. </w:t>
      </w:r>
      <w:r w:rsidRPr="00FE5A64">
        <w:rPr>
          <w:highlight w:val="lightGray"/>
        </w:rPr>
        <w:t xml:space="preserve">Critical elements that merited particular attention in the decision were </w:t>
      </w:r>
      <w:proofErr w:type="spellStart"/>
      <w:r w:rsidRPr="00FE5A64">
        <w:rPr>
          <w:highlight w:val="lightGray"/>
        </w:rPr>
        <w:t>Balansys</w:t>
      </w:r>
      <w:proofErr w:type="spellEnd"/>
      <w:r w:rsidRPr="00FE5A64">
        <w:rPr>
          <w:highlight w:val="lightGray"/>
        </w:rPr>
        <w:t xml:space="preserve">' degree of reliance on the parent TSOs as well as its </w:t>
      </w:r>
      <w:proofErr w:type="gramStart"/>
      <w:r w:rsidRPr="00FE5A64">
        <w:rPr>
          <w:highlight w:val="lightGray"/>
        </w:rPr>
        <w:t>decision making</w:t>
      </w:r>
      <w:proofErr w:type="gramEnd"/>
      <w:r w:rsidRPr="00FE5A64">
        <w:rPr>
          <w:highlight w:val="lightGray"/>
        </w:rPr>
        <w:t xml:space="preserve"> process and the independence criteria of its key staff.</w:t>
      </w:r>
    </w:p>
    <w:p w14:paraId="2B056D8F" w14:textId="77777777" w:rsidR="003336F6" w:rsidRDefault="003336F6" w:rsidP="003336F6"/>
    <w:p w14:paraId="0A48D0E8" w14:textId="77777777" w:rsidR="003336F6" w:rsidRDefault="003336F6" w:rsidP="003336F6">
      <w:bookmarkStart w:id="0" w:name="_GoBack"/>
      <w:bookmarkEnd w:id="0"/>
      <w:r w:rsidRPr="00FE5A64">
        <w:rPr>
          <w:highlight w:val="lightGray"/>
        </w:rPr>
        <w:t xml:space="preserve">Due to the nature of the tasks being delegated to </w:t>
      </w:r>
      <w:proofErr w:type="spellStart"/>
      <w:r w:rsidRPr="00FE5A64">
        <w:rPr>
          <w:highlight w:val="lightGray"/>
        </w:rPr>
        <w:t>Balansys</w:t>
      </w:r>
      <w:proofErr w:type="spellEnd"/>
      <w:r w:rsidRPr="00FE5A64">
        <w:rPr>
          <w:highlight w:val="lightGray"/>
        </w:rPr>
        <w:t xml:space="preserve">, the decision also closely examines the responsibility of the delegating TSOs and the delegated entity. It concludes that, in the current case, the parent TSOs and </w:t>
      </w:r>
      <w:proofErr w:type="spellStart"/>
      <w:r w:rsidRPr="00FE5A64">
        <w:rPr>
          <w:highlight w:val="lightGray"/>
        </w:rPr>
        <w:t>Balansys</w:t>
      </w:r>
      <w:proofErr w:type="spellEnd"/>
      <w:r w:rsidRPr="00FE5A64">
        <w:rPr>
          <w:highlight w:val="lightGray"/>
        </w:rPr>
        <w:t xml:space="preserve"> are concurrently liable and responsible for the good performance of the delegated balancing tasks. In addition, the decision accepts that the compliance </w:t>
      </w:r>
      <w:proofErr w:type="spellStart"/>
      <w:r w:rsidRPr="00FE5A64">
        <w:rPr>
          <w:highlight w:val="lightGray"/>
        </w:rPr>
        <w:t>programme</w:t>
      </w:r>
      <w:proofErr w:type="spellEnd"/>
      <w:r w:rsidRPr="00FE5A64">
        <w:rPr>
          <w:highlight w:val="lightGray"/>
        </w:rPr>
        <w:t xml:space="preserve"> criteria and objectives as laid down in the Gas Directive also apply to a joint undertaking of an ownership unbundled TSO and an exempted vertically integrated TSO.</w:t>
      </w:r>
    </w:p>
    <w:p w14:paraId="26831279" w14:textId="77777777" w:rsidR="003336F6" w:rsidRDefault="003336F6" w:rsidP="003336F6"/>
    <w:p w14:paraId="066084D2" w14:textId="0D687CA9" w:rsidR="00BE080D" w:rsidRDefault="003336F6" w:rsidP="003336F6">
      <w:r>
        <w:t>You can access the Decision here.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27"/>
    <w:rsid w:val="003336F6"/>
    <w:rsid w:val="00453EED"/>
    <w:rsid w:val="00BE080D"/>
    <w:rsid w:val="00D46027"/>
    <w:rsid w:val="00FE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E261C"/>
  <w14:defaultImageDpi w14:val="32767"/>
  <w15:chartTrackingRefBased/>
  <w15:docId w15:val="{6C51040F-1B64-CE4C-8BC5-75F5D58E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8267">
                  <w:marLeft w:val="0"/>
                  <w:marRight w:val="0"/>
                  <w:marTop w:val="1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26170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2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2020-02-14T10:36:00Z</dcterms:created>
  <dcterms:modified xsi:type="dcterms:W3CDTF">2020-04-08T12:53:00Z</dcterms:modified>
</cp:coreProperties>
</file>