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BB0E" w14:textId="77777777" w:rsidR="000334E2" w:rsidRPr="000334E2" w:rsidRDefault="000334E2" w:rsidP="000334E2">
      <w:pPr>
        <w:shd w:val="clear" w:color="auto" w:fill="FFFFFF"/>
        <w:spacing w:before="100" w:beforeAutospacing="1" w:after="450"/>
        <w:outlineLvl w:val="0"/>
        <w:rPr>
          <w:rFonts w:ascii="Tahoma" w:eastAsia="Times New Roman" w:hAnsi="Tahoma" w:cs="Tahoma"/>
          <w:b/>
          <w:bCs/>
          <w:color w:val="044F9F"/>
          <w:kern w:val="36"/>
          <w:sz w:val="35"/>
          <w:szCs w:val="35"/>
        </w:rPr>
      </w:pPr>
      <w:r w:rsidRPr="000334E2">
        <w:rPr>
          <w:rFonts w:ascii="Tahoma" w:eastAsia="Times New Roman" w:hAnsi="Tahoma" w:cs="Tahoma"/>
          <w:b/>
          <w:bCs/>
          <w:color w:val="044F9F"/>
          <w:kern w:val="36"/>
          <w:sz w:val="35"/>
          <w:szCs w:val="35"/>
        </w:rPr>
        <w:t>First ACER Report on the implementation of the CACM Regulation and the FCA Regulation available online</w:t>
      </w:r>
    </w:p>
    <w:p w14:paraId="26C5E73F" w14:textId="77777777" w:rsidR="000334E2" w:rsidRPr="000334E2" w:rsidRDefault="000334E2" w:rsidP="000334E2">
      <w:pPr>
        <w:shd w:val="clear" w:color="auto" w:fill="FFFFFF"/>
        <w:rPr>
          <w:rFonts w:ascii="Tahoma" w:eastAsia="Times New Roman" w:hAnsi="Tahoma" w:cs="Tahoma"/>
          <w:color w:val="444444"/>
          <w:sz w:val="20"/>
          <w:szCs w:val="20"/>
        </w:rPr>
      </w:pPr>
      <w:r w:rsidRPr="000334E2">
        <w:rPr>
          <w:rFonts w:ascii="Tahoma" w:eastAsia="Times New Roman" w:hAnsi="Tahoma" w:cs="Tahoma"/>
          <w:color w:val="444444"/>
          <w:sz w:val="20"/>
          <w:szCs w:val="20"/>
        </w:rPr>
        <w:t>30/01/2019</w:t>
      </w:r>
    </w:p>
    <w:p w14:paraId="11452997" w14:textId="77777777" w:rsidR="000334E2" w:rsidRPr="000334E2" w:rsidRDefault="00E27C58" w:rsidP="000334E2">
      <w:pPr>
        <w:numPr>
          <w:ilvl w:val="0"/>
          <w:numId w:val="1"/>
        </w:numPr>
        <w:shd w:val="clear" w:color="auto" w:fill="FFFFFF"/>
        <w:ind w:right="30" w:firstLine="0"/>
        <w:textAlignment w:val="top"/>
        <w:rPr>
          <w:rFonts w:ascii="Tahoma" w:eastAsia="Times New Roman" w:hAnsi="Tahoma" w:cs="Tahoma"/>
          <w:color w:val="444444"/>
        </w:rPr>
      </w:pPr>
      <w:hyperlink r:id="rId5" w:tooltip="Twitter" w:history="1">
        <w:r w:rsidR="000334E2" w:rsidRPr="000334E2">
          <w:rPr>
            <w:rFonts w:ascii="Arial" w:eastAsia="Times New Roman" w:hAnsi="Arial" w:cs="Arial"/>
            <w:color w:val="FFFFFF"/>
            <w:sz w:val="21"/>
            <w:szCs w:val="21"/>
            <w:u w:val="single"/>
            <w:bdr w:val="none" w:sz="0" w:space="0" w:color="auto" w:frame="1"/>
            <w:shd w:val="clear" w:color="auto" w:fill="1578B5"/>
          </w:rPr>
          <w:t>Twitter</w:t>
        </w:r>
      </w:hyperlink>
    </w:p>
    <w:p w14:paraId="25594732" w14:textId="77777777" w:rsidR="000334E2" w:rsidRPr="000334E2" w:rsidRDefault="00E27C58" w:rsidP="000334E2">
      <w:pPr>
        <w:numPr>
          <w:ilvl w:val="0"/>
          <w:numId w:val="1"/>
        </w:numPr>
        <w:shd w:val="clear" w:color="auto" w:fill="FFFFFF"/>
        <w:ind w:right="30" w:firstLine="0"/>
        <w:textAlignment w:val="top"/>
        <w:rPr>
          <w:rFonts w:ascii="Tahoma" w:eastAsia="Times New Roman" w:hAnsi="Tahoma" w:cs="Tahoma"/>
          <w:color w:val="444444"/>
        </w:rPr>
      </w:pPr>
      <w:hyperlink r:id="rId6" w:tooltip="Facebook" w:history="1">
        <w:r w:rsidR="000334E2" w:rsidRPr="000334E2">
          <w:rPr>
            <w:rFonts w:ascii="Arial" w:eastAsia="Times New Roman" w:hAnsi="Arial" w:cs="Arial"/>
            <w:color w:val="FFFFFF"/>
            <w:sz w:val="21"/>
            <w:szCs w:val="21"/>
            <w:u w:val="single"/>
            <w:bdr w:val="none" w:sz="0" w:space="0" w:color="auto" w:frame="1"/>
            <w:shd w:val="clear" w:color="auto" w:fill="426398"/>
          </w:rPr>
          <w:t>Facebook</w:t>
        </w:r>
      </w:hyperlink>
    </w:p>
    <w:p w14:paraId="6D0D0B9F" w14:textId="77777777" w:rsidR="000334E2" w:rsidRPr="000334E2" w:rsidRDefault="00E27C58" w:rsidP="000334E2">
      <w:pPr>
        <w:numPr>
          <w:ilvl w:val="0"/>
          <w:numId w:val="1"/>
        </w:numPr>
        <w:shd w:val="clear" w:color="auto" w:fill="FFFFFF"/>
        <w:ind w:right="30" w:firstLine="0"/>
        <w:textAlignment w:val="top"/>
        <w:rPr>
          <w:rFonts w:ascii="Tahoma" w:eastAsia="Times New Roman" w:hAnsi="Tahoma" w:cs="Tahoma"/>
          <w:color w:val="444444"/>
        </w:rPr>
      </w:pPr>
      <w:hyperlink r:id="rId7" w:tooltip="LinkedIn" w:history="1">
        <w:r w:rsidR="000334E2" w:rsidRPr="000334E2">
          <w:rPr>
            <w:rFonts w:ascii="Arial" w:eastAsia="Times New Roman" w:hAnsi="Arial" w:cs="Arial"/>
            <w:color w:val="FFFFFF"/>
            <w:sz w:val="21"/>
            <w:szCs w:val="21"/>
            <w:u w:val="single"/>
            <w:bdr w:val="none" w:sz="0" w:space="0" w:color="auto" w:frame="1"/>
            <w:shd w:val="clear" w:color="auto" w:fill="186C98"/>
          </w:rPr>
          <w:t>LinkedIn</w:t>
        </w:r>
      </w:hyperlink>
    </w:p>
    <w:p w14:paraId="2883D763" w14:textId="77777777" w:rsidR="000334E2" w:rsidRPr="000334E2" w:rsidRDefault="00E27C58" w:rsidP="000334E2">
      <w:pPr>
        <w:numPr>
          <w:ilvl w:val="0"/>
          <w:numId w:val="1"/>
        </w:numPr>
        <w:shd w:val="clear" w:color="auto" w:fill="FFFFFF"/>
        <w:ind w:right="30" w:firstLine="0"/>
        <w:textAlignment w:val="top"/>
        <w:rPr>
          <w:rFonts w:ascii="Tahoma" w:eastAsia="Times New Roman" w:hAnsi="Tahoma" w:cs="Tahoma"/>
          <w:color w:val="444444"/>
        </w:rPr>
      </w:pPr>
      <w:hyperlink r:id="rId8" w:tooltip="E-mail" w:history="1">
        <w:r w:rsidR="000334E2" w:rsidRPr="000334E2">
          <w:rPr>
            <w:rFonts w:ascii="Arial" w:eastAsia="Times New Roman" w:hAnsi="Arial" w:cs="Arial"/>
            <w:color w:val="FFFFFF"/>
            <w:sz w:val="21"/>
            <w:szCs w:val="21"/>
            <w:u w:val="single"/>
            <w:bdr w:val="none" w:sz="0" w:space="0" w:color="auto" w:frame="1"/>
            <w:shd w:val="clear" w:color="auto" w:fill="135077"/>
          </w:rPr>
          <w:t>E-mail</w:t>
        </w:r>
      </w:hyperlink>
    </w:p>
    <w:p w14:paraId="64EAB7EC" w14:textId="77777777" w:rsidR="000334E2" w:rsidRPr="000334E2" w:rsidRDefault="000334E2" w:rsidP="000334E2">
      <w:pPr>
        <w:shd w:val="clear" w:color="auto" w:fill="FFFFFF"/>
        <w:spacing w:after="150"/>
        <w:jc w:val="both"/>
        <w:rPr>
          <w:rFonts w:ascii="Tahoma" w:eastAsia="Times New Roman" w:hAnsi="Tahoma" w:cs="Tahoma"/>
          <w:color w:val="444444"/>
          <w:sz w:val="20"/>
          <w:szCs w:val="20"/>
        </w:rPr>
      </w:pPr>
      <w:r w:rsidRPr="000334E2">
        <w:rPr>
          <w:rFonts w:ascii="Tahoma" w:eastAsia="Times New Roman" w:hAnsi="Tahoma" w:cs="Tahoma"/>
          <w:b/>
          <w:bCs/>
          <w:color w:val="444444"/>
          <w:sz w:val="20"/>
          <w:szCs w:val="20"/>
        </w:rPr>
        <w:t>​First ACER Report on the implementation of the CACM Regulation and the FCA Regulation available online</w:t>
      </w:r>
    </w:p>
    <w:p w14:paraId="1B9EB31A" w14:textId="77777777" w:rsidR="000334E2" w:rsidRPr="000334E2" w:rsidRDefault="000334E2" w:rsidP="000334E2">
      <w:pPr>
        <w:shd w:val="clear" w:color="auto" w:fill="FFFFFF"/>
        <w:spacing w:after="150"/>
        <w:jc w:val="both"/>
        <w:rPr>
          <w:rFonts w:ascii="Tahoma" w:eastAsia="Times New Roman" w:hAnsi="Tahoma" w:cs="Tahoma"/>
          <w:color w:val="444444"/>
          <w:sz w:val="20"/>
          <w:szCs w:val="20"/>
        </w:rPr>
      </w:pPr>
      <w:r w:rsidRPr="000334E2">
        <w:rPr>
          <w:rFonts w:ascii="Tahoma" w:eastAsia="Times New Roman" w:hAnsi="Tahoma" w:cs="Tahoma"/>
          <w:color w:val="444444"/>
          <w:sz w:val="20"/>
          <w:szCs w:val="20"/>
        </w:rPr>
        <w:t>The Agency publishes today its first monitoring </w:t>
      </w:r>
      <w:hyperlink r:id="rId9" w:tgtFrame="_blank" w:history="1">
        <w:r w:rsidRPr="000334E2">
          <w:rPr>
            <w:rFonts w:ascii="Tahoma" w:eastAsia="Times New Roman" w:hAnsi="Tahoma" w:cs="Tahoma"/>
            <w:color w:val="663399"/>
            <w:sz w:val="20"/>
            <w:szCs w:val="20"/>
            <w:u w:val="single"/>
          </w:rPr>
          <w:t>report ​</w:t>
        </w:r>
      </w:hyperlink>
      <w:r w:rsidRPr="000334E2">
        <w:rPr>
          <w:rFonts w:ascii="Tahoma" w:eastAsia="Times New Roman" w:hAnsi="Tahoma" w:cs="Tahoma"/>
          <w:color w:val="444444"/>
          <w:sz w:val="20"/>
          <w:szCs w:val="20"/>
        </w:rPr>
        <w:t xml:space="preserve">on the implementation of the Guideline on Capacity Allocation and Congestion Management (CACM Regulation) and the Guideline on Forward Capacity Allocation (FCA Regulation). </w:t>
      </w:r>
      <w:r w:rsidRPr="00E27C58">
        <w:rPr>
          <w:rFonts w:ascii="Tahoma" w:eastAsia="Times New Roman" w:hAnsi="Tahoma" w:cs="Tahoma"/>
          <w:color w:val="444444"/>
          <w:sz w:val="20"/>
          <w:szCs w:val="20"/>
          <w:highlight w:val="yellow"/>
        </w:rPr>
        <w:t>The CACM Regulation lays down the binding guidelines for the implementation and operation of EU-wide single market coupling in the day ahead and intraday timeframe. The FCA Regulation lays down detailed rules on cross-zonal capacity calculation and allocation in the forward timeframe. Both regulations aim at facilitating electricity trading across the European Union.</w:t>
      </w:r>
    </w:p>
    <w:p w14:paraId="3249A22C" w14:textId="77777777" w:rsidR="000334E2" w:rsidRPr="000334E2" w:rsidRDefault="000334E2" w:rsidP="000334E2">
      <w:pPr>
        <w:shd w:val="clear" w:color="auto" w:fill="FFFFFF"/>
        <w:spacing w:after="150"/>
        <w:jc w:val="both"/>
        <w:rPr>
          <w:rFonts w:ascii="Tahoma" w:eastAsia="Times New Roman" w:hAnsi="Tahoma" w:cs="Tahoma"/>
          <w:color w:val="444444"/>
          <w:sz w:val="20"/>
          <w:szCs w:val="20"/>
        </w:rPr>
      </w:pPr>
      <w:r w:rsidRPr="00E27C58">
        <w:rPr>
          <w:rFonts w:ascii="Tahoma" w:eastAsia="Times New Roman" w:hAnsi="Tahoma" w:cs="Tahoma"/>
          <w:color w:val="444444"/>
          <w:sz w:val="20"/>
          <w:szCs w:val="20"/>
          <w:highlight w:val="yellow"/>
        </w:rPr>
        <w:t>The report describes the status of the implementation and application of both regulations across the EU Member States. The CACM Regulation is applicable since 14 August 2015, whereas the FCA Regulation is applicable since 17 October 2016.</w:t>
      </w:r>
      <w:r w:rsidRPr="000334E2">
        <w:rPr>
          <w:rFonts w:ascii="Tahoma" w:eastAsia="Times New Roman" w:hAnsi="Tahoma" w:cs="Tahoma"/>
          <w:color w:val="444444"/>
          <w:sz w:val="20"/>
          <w:szCs w:val="20"/>
        </w:rPr>
        <w:t> </w:t>
      </w:r>
    </w:p>
    <w:p w14:paraId="4DDF2E87" w14:textId="77777777" w:rsidR="000334E2" w:rsidRPr="000334E2" w:rsidRDefault="000334E2" w:rsidP="000334E2">
      <w:pPr>
        <w:shd w:val="clear" w:color="auto" w:fill="FFFFFF"/>
        <w:spacing w:after="150"/>
        <w:jc w:val="both"/>
        <w:rPr>
          <w:rFonts w:ascii="Tahoma" w:eastAsia="Times New Roman" w:hAnsi="Tahoma" w:cs="Tahoma"/>
          <w:color w:val="444444"/>
          <w:sz w:val="20"/>
          <w:szCs w:val="20"/>
        </w:rPr>
      </w:pPr>
      <w:r w:rsidRPr="000334E2">
        <w:rPr>
          <w:rFonts w:ascii="Tahoma" w:eastAsia="Times New Roman" w:hAnsi="Tahoma" w:cs="Tahoma"/>
          <w:color w:val="444444"/>
          <w:sz w:val="20"/>
          <w:szCs w:val="20"/>
        </w:rPr>
        <w:t>In its first report, beyond the assessment of compliance, the Agency identifies difficulties faced in implementing these regulations. The Agency provided conclusions and recommendations across the EU.</w:t>
      </w:r>
    </w:p>
    <w:p w14:paraId="0608C1E5" w14:textId="77777777" w:rsidR="000334E2" w:rsidRPr="000334E2" w:rsidRDefault="000334E2" w:rsidP="000334E2">
      <w:pPr>
        <w:shd w:val="clear" w:color="auto" w:fill="FFFFFF"/>
        <w:spacing w:after="150"/>
        <w:jc w:val="both"/>
        <w:rPr>
          <w:rFonts w:ascii="Tahoma" w:eastAsia="Times New Roman" w:hAnsi="Tahoma" w:cs="Tahoma"/>
          <w:color w:val="444444"/>
          <w:sz w:val="20"/>
          <w:szCs w:val="20"/>
        </w:rPr>
      </w:pPr>
      <w:r w:rsidRPr="000334E2">
        <w:rPr>
          <w:rFonts w:ascii="Tahoma" w:eastAsia="Times New Roman" w:hAnsi="Tahoma" w:cs="Tahoma"/>
          <w:b/>
          <w:bCs/>
          <w:color w:val="444444"/>
          <w:sz w:val="20"/>
          <w:szCs w:val="20"/>
        </w:rPr>
        <w:t>Main findings:</w:t>
      </w:r>
    </w:p>
    <w:p w14:paraId="1903214C" w14:textId="77777777" w:rsidR="000334E2" w:rsidRPr="00E27C58" w:rsidRDefault="000334E2" w:rsidP="000334E2">
      <w:pPr>
        <w:numPr>
          <w:ilvl w:val="0"/>
          <w:numId w:val="2"/>
        </w:numPr>
        <w:shd w:val="clear" w:color="auto" w:fill="FFFFFF"/>
        <w:spacing w:before="100" w:beforeAutospacing="1" w:after="100" w:afterAutospacing="1"/>
        <w:rPr>
          <w:rFonts w:ascii="Tahoma" w:eastAsia="Times New Roman" w:hAnsi="Tahoma" w:cs="Tahoma"/>
          <w:color w:val="444444"/>
          <w:sz w:val="20"/>
          <w:szCs w:val="20"/>
          <w:highlight w:val="lightGray"/>
        </w:rPr>
      </w:pPr>
      <w:r w:rsidRPr="00E27C58">
        <w:rPr>
          <w:rFonts w:ascii="Tahoma" w:eastAsia="Times New Roman" w:hAnsi="Tahoma" w:cs="Tahoma"/>
          <w:b/>
          <w:bCs/>
          <w:color w:val="444444"/>
          <w:sz w:val="20"/>
          <w:szCs w:val="20"/>
          <w:highlight w:val="lightGray"/>
        </w:rPr>
        <w:t>The implementation of the Code can overall be considered successful </w:t>
      </w:r>
      <w:r w:rsidRPr="00E27C58">
        <w:rPr>
          <w:rFonts w:ascii="Tahoma" w:eastAsia="Times New Roman" w:hAnsi="Tahoma" w:cs="Tahoma"/>
          <w:color w:val="444444"/>
          <w:sz w:val="20"/>
          <w:szCs w:val="20"/>
          <w:highlight w:val="lightGray"/>
        </w:rPr>
        <w:t>and a decisive milestone in the development of fully integrated electricity markets across the EU. </w:t>
      </w:r>
      <w:r w:rsidRPr="00E27C58">
        <w:rPr>
          <w:rFonts w:ascii="Tahoma" w:eastAsia="Times New Roman" w:hAnsi="Tahoma" w:cs="Tahoma"/>
          <w:b/>
          <w:bCs/>
          <w:color w:val="444444"/>
          <w:sz w:val="20"/>
          <w:szCs w:val="20"/>
          <w:highlight w:val="lightGray"/>
        </w:rPr>
        <w:t>The single day ahead coupling is almost complete</w:t>
      </w:r>
      <w:r w:rsidRPr="00E27C58">
        <w:rPr>
          <w:rFonts w:ascii="Tahoma" w:eastAsia="Times New Roman" w:hAnsi="Tahoma" w:cs="Tahoma"/>
          <w:color w:val="444444"/>
          <w:sz w:val="20"/>
          <w:szCs w:val="20"/>
          <w:highlight w:val="lightGray"/>
        </w:rPr>
        <w:t>, mainly as a result of early and voluntary initiatives. This still needs to be transformed into the single day-ahead coupling as formally established by the CACM Regulation and the corresponding terms and conditions or methodologies. </w:t>
      </w:r>
      <w:r w:rsidRPr="00E27C58">
        <w:rPr>
          <w:rFonts w:ascii="Tahoma" w:eastAsia="Times New Roman" w:hAnsi="Tahoma" w:cs="Tahoma"/>
          <w:b/>
          <w:bCs/>
          <w:color w:val="444444"/>
          <w:sz w:val="20"/>
          <w:szCs w:val="20"/>
          <w:highlight w:val="lightGray"/>
        </w:rPr>
        <w:t>Many new detailed terms and conditions or methodologies have been adopted either at EU or regional level while most of them still need to be implemented. </w:t>
      </w:r>
      <w:r w:rsidRPr="00E27C58">
        <w:rPr>
          <w:rFonts w:ascii="Tahoma" w:eastAsia="Times New Roman" w:hAnsi="Tahoma" w:cs="Tahoma"/>
          <w:color w:val="444444"/>
          <w:sz w:val="20"/>
          <w:szCs w:val="20"/>
          <w:highlight w:val="lightGray"/>
        </w:rPr>
        <w:t xml:space="preserve">This process, though legally and </w:t>
      </w:r>
      <w:proofErr w:type="spellStart"/>
      <w:r w:rsidRPr="00E27C58">
        <w:rPr>
          <w:rFonts w:ascii="Tahoma" w:eastAsia="Times New Roman" w:hAnsi="Tahoma" w:cs="Tahoma"/>
          <w:color w:val="444444"/>
          <w:sz w:val="20"/>
          <w:szCs w:val="20"/>
          <w:highlight w:val="lightGray"/>
        </w:rPr>
        <w:t>organisationally</w:t>
      </w:r>
      <w:proofErr w:type="spellEnd"/>
      <w:r w:rsidRPr="00E27C58">
        <w:rPr>
          <w:rFonts w:ascii="Tahoma" w:eastAsia="Times New Roman" w:hAnsi="Tahoma" w:cs="Tahoma"/>
          <w:color w:val="444444"/>
          <w:sz w:val="20"/>
          <w:szCs w:val="20"/>
          <w:highlight w:val="lightGray"/>
        </w:rPr>
        <w:t xml:space="preserve"> complex, can be considered a successful approach to develop ​and define all the necessary design elements for an integrated electricity market.</w:t>
      </w:r>
    </w:p>
    <w:p w14:paraId="28210F71" w14:textId="77777777" w:rsidR="000334E2" w:rsidRPr="00E27C58" w:rsidRDefault="000334E2" w:rsidP="000334E2">
      <w:pPr>
        <w:numPr>
          <w:ilvl w:val="0"/>
          <w:numId w:val="3"/>
        </w:numPr>
        <w:shd w:val="clear" w:color="auto" w:fill="FFFFFF"/>
        <w:spacing w:before="100" w:beforeAutospacing="1" w:after="100" w:afterAutospacing="1"/>
        <w:rPr>
          <w:rFonts w:ascii="Tahoma" w:eastAsia="Times New Roman" w:hAnsi="Tahoma" w:cs="Tahoma"/>
          <w:color w:val="444444"/>
          <w:sz w:val="20"/>
          <w:szCs w:val="20"/>
          <w:highlight w:val="lightGray"/>
        </w:rPr>
      </w:pPr>
      <w:r w:rsidRPr="00E27C58">
        <w:rPr>
          <w:rFonts w:ascii="Tahoma" w:eastAsia="Times New Roman" w:hAnsi="Tahoma" w:cs="Tahoma"/>
          <w:b/>
          <w:bCs/>
          <w:color w:val="444444"/>
          <w:sz w:val="20"/>
          <w:szCs w:val="20"/>
          <w:highlight w:val="lightGray"/>
        </w:rPr>
        <w:t>Despite this progress, there are still a number of challenges, which will require utmost attention and improvement in the forthcoming years.</w:t>
      </w:r>
    </w:p>
    <w:p w14:paraId="175A29AF" w14:textId="77777777" w:rsidR="000334E2" w:rsidRPr="00E27C58" w:rsidRDefault="000334E2" w:rsidP="000334E2">
      <w:pPr>
        <w:numPr>
          <w:ilvl w:val="0"/>
          <w:numId w:val="4"/>
        </w:numPr>
        <w:shd w:val="clear" w:color="auto" w:fill="FFFFFF"/>
        <w:spacing w:before="100" w:beforeAutospacing="1" w:after="100" w:afterAutospacing="1"/>
        <w:rPr>
          <w:rFonts w:ascii="Tahoma" w:eastAsia="Times New Roman" w:hAnsi="Tahoma" w:cs="Tahoma"/>
          <w:color w:val="444444"/>
          <w:sz w:val="20"/>
          <w:szCs w:val="20"/>
          <w:highlight w:val="lightGray"/>
        </w:rPr>
      </w:pPr>
      <w:r w:rsidRPr="000334E2">
        <w:rPr>
          <w:rFonts w:ascii="Tahoma" w:eastAsia="Times New Roman" w:hAnsi="Tahoma" w:cs="Tahoma"/>
          <w:b/>
          <w:bCs/>
          <w:color w:val="444444"/>
          <w:sz w:val="20"/>
          <w:szCs w:val="20"/>
        </w:rPr>
        <w:t>For the FCA Regulation, the main points of attention include (</w:t>
      </w:r>
      <w:proofErr w:type="spellStart"/>
      <w:r w:rsidRPr="000334E2">
        <w:rPr>
          <w:rFonts w:ascii="Tahoma" w:eastAsia="Times New Roman" w:hAnsi="Tahoma" w:cs="Tahoma"/>
          <w:b/>
          <w:bCs/>
          <w:color w:val="444444"/>
          <w:sz w:val="20"/>
          <w:szCs w:val="20"/>
        </w:rPr>
        <w:t>i</w:t>
      </w:r>
      <w:proofErr w:type="spellEnd"/>
      <w:r w:rsidRPr="000334E2">
        <w:rPr>
          <w:rFonts w:ascii="Tahoma" w:eastAsia="Times New Roman" w:hAnsi="Tahoma" w:cs="Tahoma"/>
          <w:b/>
          <w:bCs/>
          <w:color w:val="444444"/>
          <w:sz w:val="20"/>
          <w:szCs w:val="20"/>
        </w:rPr>
        <w:t xml:space="preserve">) rules related to the </w:t>
      </w:r>
      <w:proofErr w:type="spellStart"/>
      <w:r w:rsidRPr="000334E2">
        <w:rPr>
          <w:rFonts w:ascii="Tahoma" w:eastAsia="Times New Roman" w:hAnsi="Tahoma" w:cs="Tahoma"/>
          <w:b/>
          <w:bCs/>
          <w:color w:val="444444"/>
          <w:sz w:val="20"/>
          <w:szCs w:val="20"/>
        </w:rPr>
        <w:t>harmonisation</w:t>
      </w:r>
      <w:proofErr w:type="spellEnd"/>
      <w:r w:rsidRPr="000334E2">
        <w:rPr>
          <w:rFonts w:ascii="Tahoma" w:eastAsia="Times New Roman" w:hAnsi="Tahoma" w:cs="Tahoma"/>
          <w:b/>
          <w:bCs/>
          <w:color w:val="444444"/>
          <w:sz w:val="20"/>
          <w:szCs w:val="20"/>
        </w:rPr>
        <w:t xml:space="preserve"> of the Long Term Transmission Rights, </w:t>
      </w:r>
      <w:r w:rsidRPr="000334E2">
        <w:rPr>
          <w:rFonts w:ascii="Tahoma" w:eastAsia="Times New Roman" w:hAnsi="Tahoma" w:cs="Tahoma"/>
          <w:color w:val="444444"/>
          <w:sz w:val="20"/>
          <w:szCs w:val="20"/>
        </w:rPr>
        <w:t xml:space="preserve">where currently some annexes to </w:t>
      </w:r>
      <w:bookmarkStart w:id="0" w:name="_GoBack"/>
      <w:bookmarkEnd w:id="0"/>
      <w:r w:rsidRPr="00E27C58">
        <w:rPr>
          <w:rFonts w:ascii="Tahoma" w:eastAsia="Times New Roman" w:hAnsi="Tahoma" w:cs="Tahoma"/>
          <w:color w:val="444444"/>
          <w:sz w:val="20"/>
          <w:szCs w:val="20"/>
          <w:highlight w:val="lightGray"/>
        </w:rPr>
        <w:t xml:space="preserve">the </w:t>
      </w:r>
      <w:proofErr w:type="spellStart"/>
      <w:r w:rsidRPr="00E27C58">
        <w:rPr>
          <w:rFonts w:ascii="Tahoma" w:eastAsia="Times New Roman" w:hAnsi="Tahoma" w:cs="Tahoma"/>
          <w:color w:val="444444"/>
          <w:sz w:val="20"/>
          <w:szCs w:val="20"/>
          <w:highlight w:val="lightGray"/>
        </w:rPr>
        <w:t>harmonised</w:t>
      </w:r>
      <w:proofErr w:type="spellEnd"/>
      <w:r w:rsidRPr="00E27C58">
        <w:rPr>
          <w:rFonts w:ascii="Tahoma" w:eastAsia="Times New Roman" w:hAnsi="Tahoma" w:cs="Tahoma"/>
          <w:color w:val="444444"/>
          <w:sz w:val="20"/>
          <w:szCs w:val="20"/>
          <w:highlight w:val="lightGray"/>
        </w:rPr>
        <w:t xml:space="preserve"> allocation rules include regional specificities, which in a few instances significantly deviate from the </w:t>
      </w:r>
      <w:proofErr w:type="spellStart"/>
      <w:r w:rsidRPr="00E27C58">
        <w:rPr>
          <w:rFonts w:ascii="Tahoma" w:eastAsia="Times New Roman" w:hAnsi="Tahoma" w:cs="Tahoma"/>
          <w:color w:val="444444"/>
          <w:sz w:val="20"/>
          <w:szCs w:val="20"/>
          <w:highlight w:val="lightGray"/>
        </w:rPr>
        <w:t>harmonised</w:t>
      </w:r>
      <w:proofErr w:type="spellEnd"/>
      <w:r w:rsidRPr="00E27C58">
        <w:rPr>
          <w:rFonts w:ascii="Tahoma" w:eastAsia="Times New Roman" w:hAnsi="Tahoma" w:cs="Tahoma"/>
          <w:color w:val="444444"/>
          <w:sz w:val="20"/>
          <w:szCs w:val="20"/>
          <w:highlight w:val="lightGray"/>
        </w:rPr>
        <w:t xml:space="preserve"> allocation rules or even from the FCA Regulation itself, and </w:t>
      </w:r>
      <w:r w:rsidRPr="00E27C58">
        <w:rPr>
          <w:rFonts w:ascii="Tahoma" w:eastAsia="Times New Roman" w:hAnsi="Tahoma" w:cs="Tahoma"/>
          <w:b/>
          <w:bCs/>
          <w:color w:val="444444"/>
          <w:sz w:val="20"/>
          <w:szCs w:val="20"/>
          <w:highlight w:val="lightGray"/>
        </w:rPr>
        <w:t>(ii)</w:t>
      </w:r>
      <w:r w:rsidRPr="00E27C58">
        <w:rPr>
          <w:rFonts w:ascii="Tahoma" w:eastAsia="Times New Roman" w:hAnsi="Tahoma" w:cs="Tahoma"/>
          <w:color w:val="444444"/>
          <w:sz w:val="20"/>
          <w:szCs w:val="20"/>
          <w:highlight w:val="lightGray"/>
        </w:rPr>
        <w:t> </w:t>
      </w:r>
      <w:r w:rsidRPr="00E27C58">
        <w:rPr>
          <w:rFonts w:ascii="Tahoma" w:eastAsia="Times New Roman" w:hAnsi="Tahoma" w:cs="Tahoma"/>
          <w:b/>
          <w:bCs/>
          <w:color w:val="444444"/>
          <w:sz w:val="20"/>
          <w:szCs w:val="20"/>
          <w:highlight w:val="lightGray"/>
        </w:rPr>
        <w:t>the regulatory authorities' decisions on cross-zonal risk hedging opportunities,</w:t>
      </w:r>
      <w:r w:rsidRPr="00E27C58">
        <w:rPr>
          <w:rFonts w:ascii="Tahoma" w:eastAsia="Times New Roman" w:hAnsi="Tahoma" w:cs="Tahoma"/>
          <w:color w:val="444444"/>
          <w:sz w:val="20"/>
          <w:szCs w:val="20"/>
          <w:highlight w:val="lightGray"/>
        </w:rPr>
        <w:t xml:space="preserve"> where the Agency recommends the development of </w:t>
      </w:r>
      <w:proofErr w:type="spellStart"/>
      <w:r w:rsidRPr="00E27C58">
        <w:rPr>
          <w:rFonts w:ascii="Tahoma" w:eastAsia="Times New Roman" w:hAnsi="Tahoma" w:cs="Tahoma"/>
          <w:color w:val="444444"/>
          <w:sz w:val="20"/>
          <w:szCs w:val="20"/>
          <w:highlight w:val="lightGray"/>
        </w:rPr>
        <w:t>harmonised</w:t>
      </w:r>
      <w:proofErr w:type="spellEnd"/>
      <w:r w:rsidRPr="00E27C58">
        <w:rPr>
          <w:rFonts w:ascii="Tahoma" w:eastAsia="Times New Roman" w:hAnsi="Tahoma" w:cs="Tahoma"/>
          <w:color w:val="444444"/>
          <w:sz w:val="20"/>
          <w:szCs w:val="20"/>
          <w:highlight w:val="lightGray"/>
        </w:rPr>
        <w:t xml:space="preserve"> criteria and metrics based on which the need for hedging instruments issued by TSOs could be objectively identified.</w:t>
      </w:r>
    </w:p>
    <w:p w14:paraId="78FDEAEC" w14:textId="77777777" w:rsidR="000334E2" w:rsidRPr="00E27C58" w:rsidRDefault="000334E2" w:rsidP="000334E2">
      <w:pPr>
        <w:numPr>
          <w:ilvl w:val="0"/>
          <w:numId w:val="5"/>
        </w:numPr>
        <w:shd w:val="clear" w:color="auto" w:fill="FFFFFF"/>
        <w:spacing w:before="100" w:beforeAutospacing="1" w:after="100" w:afterAutospacing="1"/>
        <w:rPr>
          <w:rFonts w:ascii="Tahoma" w:eastAsia="Times New Roman" w:hAnsi="Tahoma" w:cs="Tahoma"/>
          <w:color w:val="444444"/>
          <w:sz w:val="20"/>
          <w:szCs w:val="20"/>
          <w:highlight w:val="lightGray"/>
        </w:rPr>
      </w:pPr>
      <w:r w:rsidRPr="00E27C58">
        <w:rPr>
          <w:rFonts w:ascii="Tahoma" w:eastAsia="Times New Roman" w:hAnsi="Tahoma" w:cs="Tahoma"/>
          <w:color w:val="444444"/>
          <w:sz w:val="20"/>
          <w:szCs w:val="20"/>
          <w:highlight w:val="lightGray"/>
        </w:rPr>
        <w:lastRenderedPageBreak/>
        <w:t> </w:t>
      </w:r>
      <w:r w:rsidRPr="00E27C58">
        <w:rPr>
          <w:rFonts w:ascii="Tahoma" w:eastAsia="Times New Roman" w:hAnsi="Tahoma" w:cs="Tahoma"/>
          <w:b/>
          <w:bCs/>
          <w:color w:val="444444"/>
          <w:sz w:val="20"/>
          <w:szCs w:val="20"/>
          <w:highlight w:val="lightGray"/>
        </w:rPr>
        <w:t>For the CACM Regulation, the main points of attention include (</w:t>
      </w:r>
      <w:proofErr w:type="spellStart"/>
      <w:r w:rsidRPr="00E27C58">
        <w:rPr>
          <w:rFonts w:ascii="Tahoma" w:eastAsia="Times New Roman" w:hAnsi="Tahoma" w:cs="Tahoma"/>
          <w:b/>
          <w:bCs/>
          <w:color w:val="444444"/>
          <w:sz w:val="20"/>
          <w:szCs w:val="20"/>
          <w:highlight w:val="lightGray"/>
        </w:rPr>
        <w:t>i</w:t>
      </w:r>
      <w:proofErr w:type="spellEnd"/>
      <w:r w:rsidRPr="00E27C58">
        <w:rPr>
          <w:rFonts w:ascii="Tahoma" w:eastAsia="Times New Roman" w:hAnsi="Tahoma" w:cs="Tahoma"/>
          <w:b/>
          <w:bCs/>
          <w:color w:val="444444"/>
          <w:sz w:val="20"/>
          <w:szCs w:val="20"/>
          <w:highlight w:val="lightGray"/>
        </w:rPr>
        <w:t xml:space="preserve">) The methodologies related to capacity calculation and to </w:t>
      </w:r>
      <w:proofErr w:type="spellStart"/>
      <w:r w:rsidRPr="00E27C58">
        <w:rPr>
          <w:rFonts w:ascii="Tahoma" w:eastAsia="Times New Roman" w:hAnsi="Tahoma" w:cs="Tahoma"/>
          <w:b/>
          <w:bCs/>
          <w:color w:val="444444"/>
          <w:sz w:val="20"/>
          <w:szCs w:val="20"/>
          <w:highlight w:val="lightGray"/>
        </w:rPr>
        <w:t>redispatching</w:t>
      </w:r>
      <w:proofErr w:type="spellEnd"/>
      <w:r w:rsidRPr="00E27C58">
        <w:rPr>
          <w:rFonts w:ascii="Tahoma" w:eastAsia="Times New Roman" w:hAnsi="Tahoma" w:cs="Tahoma"/>
          <w:b/>
          <w:bCs/>
          <w:color w:val="444444"/>
          <w:sz w:val="20"/>
          <w:szCs w:val="20"/>
          <w:highlight w:val="lightGray"/>
        </w:rPr>
        <w:t xml:space="preserve"> and countertrading,</w:t>
      </w:r>
      <w:r w:rsidRPr="00E27C58">
        <w:rPr>
          <w:rFonts w:ascii="Tahoma" w:eastAsia="Times New Roman" w:hAnsi="Tahoma" w:cs="Tahoma"/>
          <w:color w:val="444444"/>
          <w:sz w:val="20"/>
          <w:szCs w:val="20"/>
          <w:highlight w:val="lightGray"/>
        </w:rPr>
        <w:t> where the Agency notes that the problem of undue discrimination between internal and cross-zonal exchanges is not properly addressed by the current TSOs' proposals; </w:t>
      </w:r>
      <w:r w:rsidRPr="00E27C58">
        <w:rPr>
          <w:rFonts w:ascii="Tahoma" w:eastAsia="Times New Roman" w:hAnsi="Tahoma" w:cs="Tahoma"/>
          <w:b/>
          <w:bCs/>
          <w:color w:val="444444"/>
          <w:sz w:val="20"/>
          <w:szCs w:val="20"/>
          <w:highlight w:val="lightGray"/>
        </w:rPr>
        <w:t>(ii) The bidding zone configuration</w:t>
      </w:r>
      <w:r w:rsidRPr="00E27C58">
        <w:rPr>
          <w:rFonts w:ascii="Tahoma" w:eastAsia="Times New Roman" w:hAnsi="Tahoma" w:cs="Tahoma"/>
          <w:color w:val="444444"/>
          <w:sz w:val="20"/>
          <w:szCs w:val="20"/>
          <w:highlight w:val="lightGray"/>
        </w:rPr>
        <w:t> as the first bidding zone review failed to deliver its objectives according to the CACM Regulation and the Agency recommends improvements in terms of governance and methodology before this exercise is repeated; (</w:t>
      </w:r>
      <w:r w:rsidRPr="00E27C58">
        <w:rPr>
          <w:rFonts w:ascii="Tahoma" w:eastAsia="Times New Roman" w:hAnsi="Tahoma" w:cs="Tahoma"/>
          <w:b/>
          <w:bCs/>
          <w:color w:val="444444"/>
          <w:sz w:val="20"/>
          <w:szCs w:val="20"/>
          <w:highlight w:val="lightGray"/>
        </w:rPr>
        <w:t>iii) the Market Coupling Operator ('MCO') Function</w:t>
      </w:r>
      <w:r w:rsidRPr="00E27C58">
        <w:rPr>
          <w:rFonts w:ascii="Tahoma" w:eastAsia="Times New Roman" w:hAnsi="Tahoma" w:cs="Tahoma"/>
          <w:color w:val="444444"/>
          <w:sz w:val="20"/>
          <w:szCs w:val="20"/>
          <w:highlight w:val="lightGray"/>
        </w:rPr>
        <w:t>, for which the legal framework is complex and suboptimal and the Agency recommends a revision of the governance of the algorithms and of the associated cost recovery; and </w:t>
      </w:r>
      <w:r w:rsidRPr="00E27C58">
        <w:rPr>
          <w:rFonts w:ascii="Tahoma" w:eastAsia="Times New Roman" w:hAnsi="Tahoma" w:cs="Tahoma"/>
          <w:b/>
          <w:bCs/>
          <w:color w:val="444444"/>
          <w:sz w:val="20"/>
          <w:szCs w:val="20"/>
          <w:highlight w:val="lightGray"/>
        </w:rPr>
        <w:t>(iv) the design of the intraday coupling,</w:t>
      </w:r>
      <w:r w:rsidRPr="00E27C58">
        <w:rPr>
          <w:rFonts w:ascii="Tahoma" w:eastAsia="Times New Roman" w:hAnsi="Tahoma" w:cs="Tahoma"/>
          <w:color w:val="444444"/>
          <w:sz w:val="20"/>
          <w:szCs w:val="20"/>
          <w:highlight w:val="lightGray"/>
        </w:rPr>
        <w:t> not well defined in the CACM Regulation, leading to a risk that the single intraday market be fragmented in terms of timeframes, design and geography.</w:t>
      </w:r>
    </w:p>
    <w:p w14:paraId="402A6375" w14:textId="77777777" w:rsidR="000334E2" w:rsidRPr="00E27C58" w:rsidRDefault="000334E2" w:rsidP="000334E2">
      <w:pPr>
        <w:numPr>
          <w:ilvl w:val="0"/>
          <w:numId w:val="6"/>
        </w:numPr>
        <w:shd w:val="clear" w:color="auto" w:fill="FFFFFF"/>
        <w:spacing w:before="100" w:beforeAutospacing="1" w:after="100" w:afterAutospacing="1"/>
        <w:rPr>
          <w:rFonts w:ascii="Tahoma" w:eastAsia="Times New Roman" w:hAnsi="Tahoma" w:cs="Tahoma"/>
          <w:color w:val="444444"/>
          <w:sz w:val="20"/>
          <w:szCs w:val="20"/>
          <w:highlight w:val="lightGray"/>
        </w:rPr>
      </w:pPr>
      <w:r w:rsidRPr="000334E2">
        <w:rPr>
          <w:rFonts w:ascii="Tahoma" w:eastAsia="Times New Roman" w:hAnsi="Tahoma" w:cs="Tahoma"/>
          <w:b/>
          <w:bCs/>
          <w:color w:val="444444"/>
          <w:sz w:val="20"/>
          <w:szCs w:val="20"/>
        </w:rPr>
        <w:t>​</w:t>
      </w:r>
      <w:r w:rsidRPr="00E27C58">
        <w:rPr>
          <w:rFonts w:ascii="Tahoma" w:eastAsia="Times New Roman" w:hAnsi="Tahoma" w:cs="Tahoma"/>
          <w:b/>
          <w:bCs/>
          <w:color w:val="444444"/>
          <w:sz w:val="20"/>
          <w:szCs w:val="20"/>
          <w:highlight w:val="lightGray"/>
        </w:rPr>
        <w:t>Beyond the technical issues, the Agency lists possible improvements regarding the Network Code implementation process,</w:t>
      </w:r>
      <w:r w:rsidRPr="00E27C58">
        <w:rPr>
          <w:rFonts w:ascii="Tahoma" w:eastAsia="Times New Roman" w:hAnsi="Tahoma" w:cs="Tahoma"/>
          <w:color w:val="444444"/>
          <w:sz w:val="20"/>
          <w:szCs w:val="20"/>
          <w:highlight w:val="lightGray"/>
        </w:rPr>
        <w:t> such as the avoidance of unnecessary delays in the adoption and implementation of some terms and conditions or methodologies or the improvement of transparency over the process of adoption of these methodologies.</w:t>
      </w:r>
    </w:p>
    <w:p w14:paraId="05481FD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928A2"/>
    <w:multiLevelType w:val="multilevel"/>
    <w:tmpl w:val="0848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F66B1"/>
    <w:multiLevelType w:val="multilevel"/>
    <w:tmpl w:val="A8F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F2C9A"/>
    <w:multiLevelType w:val="multilevel"/>
    <w:tmpl w:val="A1E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440C1"/>
    <w:multiLevelType w:val="multilevel"/>
    <w:tmpl w:val="E62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F12BB"/>
    <w:multiLevelType w:val="multilevel"/>
    <w:tmpl w:val="858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533D7"/>
    <w:multiLevelType w:val="multilevel"/>
    <w:tmpl w:val="DB2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B9"/>
    <w:rsid w:val="000334E2"/>
    <w:rsid w:val="000E63B9"/>
    <w:rsid w:val="00453EED"/>
    <w:rsid w:val="00BE080D"/>
    <w:rsid w:val="00E2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7A25F"/>
  <w14:defaultImageDpi w14:val="32767"/>
  <w15:chartTrackingRefBased/>
  <w15:docId w15:val="{8895D7BF-21D5-BB47-B46D-42BCFCE5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334E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E2"/>
    <w:rPr>
      <w:rFonts w:ascii="Times New Roman" w:eastAsia="Times New Roman" w:hAnsi="Times New Roman" w:cs="Times New Roman"/>
      <w:b/>
      <w:bCs/>
      <w:kern w:val="36"/>
      <w:sz w:val="48"/>
      <w:szCs w:val="48"/>
    </w:rPr>
  </w:style>
  <w:style w:type="paragraph" w:customStyle="1" w:styleId="Date1">
    <w:name w:val="Date1"/>
    <w:basedOn w:val="Normal"/>
    <w:rsid w:val="000334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334E2"/>
    <w:rPr>
      <w:color w:val="0000FF"/>
      <w:u w:val="single"/>
    </w:rPr>
  </w:style>
  <w:style w:type="paragraph" w:styleId="NormalWeb">
    <w:name w:val="Normal (Web)"/>
    <w:basedOn w:val="Normal"/>
    <w:uiPriority w:val="99"/>
    <w:semiHidden/>
    <w:unhideWhenUsed/>
    <w:rsid w:val="000334E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334E2"/>
    <w:rPr>
      <w:b/>
      <w:bCs/>
    </w:rPr>
  </w:style>
  <w:style w:type="character" w:customStyle="1" w:styleId="apple-converted-space">
    <w:name w:val="apple-converted-space"/>
    <w:basedOn w:val="DefaultParagraphFont"/>
    <w:rsid w:val="00033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91824">
      <w:bodyDiv w:val="1"/>
      <w:marLeft w:val="0"/>
      <w:marRight w:val="0"/>
      <w:marTop w:val="0"/>
      <w:marBottom w:val="0"/>
      <w:divBdr>
        <w:top w:val="none" w:sz="0" w:space="0" w:color="auto"/>
        <w:left w:val="none" w:sz="0" w:space="0" w:color="auto"/>
        <w:bottom w:val="none" w:sz="0" w:space="0" w:color="auto"/>
        <w:right w:val="none" w:sz="0" w:space="0" w:color="auto"/>
      </w:divBdr>
      <w:divsChild>
        <w:div w:id="255753476">
          <w:marLeft w:val="0"/>
          <w:marRight w:val="0"/>
          <w:marTop w:val="0"/>
          <w:marBottom w:val="0"/>
          <w:divBdr>
            <w:top w:val="none" w:sz="0" w:space="0" w:color="auto"/>
            <w:left w:val="none" w:sz="0" w:space="0" w:color="auto"/>
            <w:bottom w:val="none" w:sz="0" w:space="0" w:color="auto"/>
            <w:right w:val="none" w:sz="0" w:space="0" w:color="auto"/>
          </w:divBdr>
        </w:div>
        <w:div w:id="1909225275">
          <w:marLeft w:val="0"/>
          <w:marRight w:val="0"/>
          <w:marTop w:val="0"/>
          <w:marBottom w:val="0"/>
          <w:divBdr>
            <w:top w:val="none" w:sz="0" w:space="0" w:color="auto"/>
            <w:left w:val="none" w:sz="0" w:space="0" w:color="auto"/>
            <w:bottom w:val="none" w:sz="0" w:space="0" w:color="auto"/>
            <w:right w:val="none" w:sz="0" w:space="0" w:color="auto"/>
          </w:divBdr>
          <w:divsChild>
            <w:div w:id="2781300">
              <w:marLeft w:val="0"/>
              <w:marRight w:val="0"/>
              <w:marTop w:val="0"/>
              <w:marBottom w:val="0"/>
              <w:divBdr>
                <w:top w:val="none" w:sz="0" w:space="0" w:color="auto"/>
                <w:left w:val="none" w:sz="0" w:space="0" w:color="auto"/>
                <w:bottom w:val="none" w:sz="0" w:space="0" w:color="auto"/>
                <w:right w:val="none" w:sz="0" w:space="0" w:color="auto"/>
              </w:divBdr>
              <w:divsChild>
                <w:div w:id="1565799768">
                  <w:marLeft w:val="0"/>
                  <w:marRight w:val="0"/>
                  <w:marTop w:val="100"/>
                  <w:marBottom w:val="450"/>
                  <w:divBdr>
                    <w:top w:val="none" w:sz="0" w:space="0" w:color="auto"/>
                    <w:left w:val="none" w:sz="0" w:space="0" w:color="auto"/>
                    <w:bottom w:val="none" w:sz="0" w:space="0" w:color="auto"/>
                    <w:right w:val="none" w:sz="0" w:space="0" w:color="auto"/>
                  </w:divBdr>
                  <w:divsChild>
                    <w:div w:id="1182663075">
                      <w:marLeft w:val="0"/>
                      <w:marRight w:val="0"/>
                      <w:marTop w:val="0"/>
                      <w:marBottom w:val="0"/>
                      <w:divBdr>
                        <w:top w:val="none" w:sz="0" w:space="0" w:color="auto"/>
                        <w:left w:val="none" w:sz="0" w:space="0" w:color="auto"/>
                        <w:bottom w:val="none" w:sz="0" w:space="0" w:color="auto"/>
                        <w:right w:val="none" w:sz="0" w:space="0" w:color="auto"/>
                      </w:divBdr>
                      <w:divsChild>
                        <w:div w:id="2016224497">
                          <w:marLeft w:val="0"/>
                          <w:marRight w:val="0"/>
                          <w:marTop w:val="0"/>
                          <w:marBottom w:val="0"/>
                          <w:divBdr>
                            <w:top w:val="none" w:sz="0" w:space="0" w:color="auto"/>
                            <w:left w:val="none" w:sz="0" w:space="0" w:color="auto"/>
                            <w:bottom w:val="none" w:sz="0" w:space="0" w:color="auto"/>
                            <w:right w:val="none" w:sz="0" w:space="0" w:color="auto"/>
                          </w:divBdr>
                          <w:divsChild>
                            <w:div w:id="738525744">
                              <w:marLeft w:val="0"/>
                              <w:marRight w:val="0"/>
                              <w:marTop w:val="0"/>
                              <w:marBottom w:val="0"/>
                              <w:divBdr>
                                <w:top w:val="none" w:sz="0" w:space="0" w:color="auto"/>
                                <w:left w:val="none" w:sz="0" w:space="0" w:color="auto"/>
                                <w:bottom w:val="none" w:sz="0" w:space="0" w:color="auto"/>
                                <w:right w:val="none" w:sz="0" w:space="0" w:color="auto"/>
                              </w:divBdr>
                              <w:divsChild>
                                <w:div w:id="294721382">
                                  <w:marLeft w:val="0"/>
                                  <w:marRight w:val="0"/>
                                  <w:marTop w:val="0"/>
                                  <w:marBottom w:val="0"/>
                                  <w:divBdr>
                                    <w:top w:val="none" w:sz="0" w:space="0" w:color="auto"/>
                                    <w:left w:val="none" w:sz="0" w:space="0" w:color="auto"/>
                                    <w:bottom w:val="none" w:sz="0" w:space="0" w:color="auto"/>
                                    <w:right w:val="none" w:sz="0" w:space="0" w:color="auto"/>
                                  </w:divBdr>
                                  <w:divsChild>
                                    <w:div w:id="18850235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40587">
              <w:marLeft w:val="0"/>
              <w:marRight w:val="0"/>
              <w:marTop w:val="0"/>
              <w:marBottom w:val="0"/>
              <w:divBdr>
                <w:top w:val="none" w:sz="0" w:space="0" w:color="auto"/>
                <w:left w:val="none" w:sz="0" w:space="0" w:color="auto"/>
                <w:bottom w:val="none" w:sz="0" w:space="0" w:color="auto"/>
                <w:right w:val="none" w:sz="0" w:space="0" w:color="auto"/>
              </w:divBdr>
              <w:divsChild>
                <w:div w:id="6144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1633">
      <w:bodyDiv w:val="1"/>
      <w:marLeft w:val="0"/>
      <w:marRight w:val="0"/>
      <w:marTop w:val="0"/>
      <w:marBottom w:val="0"/>
      <w:divBdr>
        <w:top w:val="none" w:sz="0" w:space="0" w:color="auto"/>
        <w:left w:val="none" w:sz="0" w:space="0" w:color="auto"/>
        <w:bottom w:val="none" w:sz="0" w:space="0" w:color="auto"/>
        <w:right w:val="none" w:sz="0" w:space="0" w:color="auto"/>
      </w:divBdr>
      <w:divsChild>
        <w:div w:id="1550458231">
          <w:marLeft w:val="0"/>
          <w:marRight w:val="0"/>
          <w:marTop w:val="0"/>
          <w:marBottom w:val="0"/>
          <w:divBdr>
            <w:top w:val="none" w:sz="0" w:space="0" w:color="auto"/>
            <w:left w:val="none" w:sz="0" w:space="0" w:color="auto"/>
            <w:bottom w:val="none" w:sz="0" w:space="0" w:color="auto"/>
            <w:right w:val="none" w:sz="0" w:space="0" w:color="auto"/>
          </w:divBdr>
        </w:div>
        <w:div w:id="1791629369">
          <w:marLeft w:val="0"/>
          <w:marRight w:val="0"/>
          <w:marTop w:val="0"/>
          <w:marBottom w:val="0"/>
          <w:divBdr>
            <w:top w:val="none" w:sz="0" w:space="0" w:color="auto"/>
            <w:left w:val="none" w:sz="0" w:space="0" w:color="auto"/>
            <w:bottom w:val="none" w:sz="0" w:space="0" w:color="auto"/>
            <w:right w:val="none" w:sz="0" w:space="0" w:color="auto"/>
          </w:divBdr>
          <w:divsChild>
            <w:div w:id="775365603">
              <w:marLeft w:val="0"/>
              <w:marRight w:val="0"/>
              <w:marTop w:val="0"/>
              <w:marBottom w:val="0"/>
              <w:divBdr>
                <w:top w:val="none" w:sz="0" w:space="0" w:color="auto"/>
                <w:left w:val="none" w:sz="0" w:space="0" w:color="auto"/>
                <w:bottom w:val="none" w:sz="0" w:space="0" w:color="auto"/>
                <w:right w:val="none" w:sz="0" w:space="0" w:color="auto"/>
              </w:divBdr>
              <w:divsChild>
                <w:div w:id="628097142">
                  <w:marLeft w:val="0"/>
                  <w:marRight w:val="0"/>
                  <w:marTop w:val="100"/>
                  <w:marBottom w:val="450"/>
                  <w:divBdr>
                    <w:top w:val="none" w:sz="0" w:space="0" w:color="auto"/>
                    <w:left w:val="none" w:sz="0" w:space="0" w:color="auto"/>
                    <w:bottom w:val="none" w:sz="0" w:space="0" w:color="auto"/>
                    <w:right w:val="none" w:sz="0" w:space="0" w:color="auto"/>
                  </w:divBdr>
                  <w:divsChild>
                    <w:div w:id="319042478">
                      <w:marLeft w:val="0"/>
                      <w:marRight w:val="0"/>
                      <w:marTop w:val="0"/>
                      <w:marBottom w:val="0"/>
                      <w:divBdr>
                        <w:top w:val="none" w:sz="0" w:space="0" w:color="auto"/>
                        <w:left w:val="none" w:sz="0" w:space="0" w:color="auto"/>
                        <w:bottom w:val="none" w:sz="0" w:space="0" w:color="auto"/>
                        <w:right w:val="none" w:sz="0" w:space="0" w:color="auto"/>
                      </w:divBdr>
                      <w:divsChild>
                        <w:div w:id="247689137">
                          <w:marLeft w:val="0"/>
                          <w:marRight w:val="0"/>
                          <w:marTop w:val="0"/>
                          <w:marBottom w:val="0"/>
                          <w:divBdr>
                            <w:top w:val="none" w:sz="0" w:space="0" w:color="auto"/>
                            <w:left w:val="none" w:sz="0" w:space="0" w:color="auto"/>
                            <w:bottom w:val="none" w:sz="0" w:space="0" w:color="auto"/>
                            <w:right w:val="none" w:sz="0" w:space="0" w:color="auto"/>
                          </w:divBdr>
                          <w:divsChild>
                            <w:div w:id="1079520920">
                              <w:marLeft w:val="0"/>
                              <w:marRight w:val="0"/>
                              <w:marTop w:val="0"/>
                              <w:marBottom w:val="0"/>
                              <w:divBdr>
                                <w:top w:val="none" w:sz="0" w:space="0" w:color="auto"/>
                                <w:left w:val="none" w:sz="0" w:space="0" w:color="auto"/>
                                <w:bottom w:val="none" w:sz="0" w:space="0" w:color="auto"/>
                                <w:right w:val="none" w:sz="0" w:space="0" w:color="auto"/>
                              </w:divBdr>
                              <w:divsChild>
                                <w:div w:id="1297567121">
                                  <w:marLeft w:val="0"/>
                                  <w:marRight w:val="0"/>
                                  <w:marTop w:val="0"/>
                                  <w:marBottom w:val="0"/>
                                  <w:divBdr>
                                    <w:top w:val="none" w:sz="0" w:space="0" w:color="auto"/>
                                    <w:left w:val="none" w:sz="0" w:space="0" w:color="auto"/>
                                    <w:bottom w:val="none" w:sz="0" w:space="0" w:color="auto"/>
                                    <w:right w:val="none" w:sz="0" w:space="0" w:color="auto"/>
                                  </w:divBdr>
                                  <w:divsChild>
                                    <w:div w:id="10070551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254975">
              <w:marLeft w:val="0"/>
              <w:marRight w:val="0"/>
              <w:marTop w:val="0"/>
              <w:marBottom w:val="0"/>
              <w:divBdr>
                <w:top w:val="none" w:sz="0" w:space="0" w:color="auto"/>
                <w:left w:val="none" w:sz="0" w:space="0" w:color="auto"/>
                <w:bottom w:val="none" w:sz="0" w:space="0" w:color="auto"/>
                <w:right w:val="none" w:sz="0" w:space="0" w:color="auto"/>
              </w:divBdr>
              <w:divsChild>
                <w:div w:id="4897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First%20ACER%20Report%20on%20the%20implementation%20of%20the%20CACM%20Regulation%20and%20the%20FCA%20Regulation%20available%20online&amp;body=https%3A%2F%2Fwww.acer.europa.eu%2FMedia%2FNews%2FPages%2FFirst-ACER-Report-on-the-implementation-of-the-CACM-Regulation-and-the-FCA-Regulation-available-online.aspx" TargetMode="External"/><Relationship Id="rId3" Type="http://schemas.openxmlformats.org/officeDocument/2006/relationships/settings" Target="settings.xml"/><Relationship Id="rId7" Type="http://schemas.openxmlformats.org/officeDocument/2006/relationships/hyperlink" Target="http://www.linkedin.com/shareArticle?mini=true&amp;url=https%3A%2F%2Fwww.acer.europa.eu%2FMedia%2FNews%2FPages%2FFirst-ACER-Report-on-the-implementation-of-the-CACM-Regulation-and-the-FCA-Regulation-available-online.aspx&amp;title=First%20ACER%20Report%20on%20the%20implementation%20of%20the%20CACM%20Regulation%20and%20the%20FCA%20Regulation%20available%20online&amp;ro=false&amp;summary=&amp;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share.php?u=https%3A%2F%2Fwww.acer.europa.eu%2FMedia%2FNews%2FPages%2FFirst-ACER-Report-on-the-implementation-of-the-CACM-Regulation-and-the-FCA-Regulation-available-online.aspx&amp;t=First%20ACER%20Report%20on%20the%20implementation%20of%20the%20CACM%20Regulation%20and%20the%20FCA%20Regulation%20available%20online" TargetMode="External"/><Relationship Id="rId11" Type="http://schemas.openxmlformats.org/officeDocument/2006/relationships/theme" Target="theme/theme1.xml"/><Relationship Id="rId5" Type="http://schemas.openxmlformats.org/officeDocument/2006/relationships/hyperlink" Target="https://twitter.com/intent/tweet?url=https%3A%2F%2Fwww.acer.europa.eu%2FMedia%2FNews%2FPages%2FFirst-ACER-Report-on-the-implementation-of-the-CACM-Regulation-and-the-FCA-Regulation-available-online.aspx&amp;text=First%20ACER%20Report%20on%20the%20implementation%20of%20the%20CACM%20Regulation%20and%20the%20FCA%20Regulation%20available%20onl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er.europa.eu/Official_documents/Acts_of_the_Agency/Publication/FCA_CACM_Implementation_Monitoring_Report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2020-02-14T11:17:00Z</dcterms:created>
  <dcterms:modified xsi:type="dcterms:W3CDTF">2020-04-08T13:19:00Z</dcterms:modified>
</cp:coreProperties>
</file>