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CE0DC" w14:textId="77777777" w:rsidR="00A36849" w:rsidRDefault="00A36849" w:rsidP="00A36849">
      <w:r w:rsidRPr="00F163B6">
        <w:rPr>
          <w:highlight w:val="darkGray"/>
        </w:rPr>
        <w:t>ACER publishes its annual monitoring report on the Inter-Transmission System Operator Compensation mechanism</w:t>
      </w:r>
    </w:p>
    <w:p w14:paraId="4D5B09AA" w14:textId="77777777" w:rsidR="00A36849" w:rsidRDefault="00A36849" w:rsidP="00A36849"/>
    <w:p w14:paraId="388EA0BA" w14:textId="77777777" w:rsidR="00A36849" w:rsidRDefault="00A36849" w:rsidP="00A36849">
      <w:r>
        <w:t>16/12/2019</w:t>
      </w:r>
    </w:p>
    <w:p w14:paraId="52B8D92F" w14:textId="77777777" w:rsidR="00A36849" w:rsidRDefault="00A36849" w:rsidP="00A36849">
      <w:proofErr w:type="spellStart"/>
      <w:r>
        <w:t>TwitterFacebookLinkedInE</w:t>
      </w:r>
      <w:proofErr w:type="spellEnd"/>
      <w:r>
        <w:t>-mail</w:t>
      </w:r>
    </w:p>
    <w:p w14:paraId="1870C335" w14:textId="77777777" w:rsidR="00A36849" w:rsidRDefault="00A36849" w:rsidP="00A36849">
      <w:r>
        <w:t>​</w:t>
      </w:r>
      <w:r w:rsidRPr="00F163B6">
        <w:rPr>
          <w:highlight w:val="darkGray"/>
        </w:rPr>
        <w:t>The European Union Agency for the Cooperation of Energy Regulators (ACER) released today its Report on the implementation of the Inter-Transmission System Operator Compensation (ITC) mechanism in 2018.</w:t>
      </w:r>
    </w:p>
    <w:p w14:paraId="38FD87A5" w14:textId="77777777" w:rsidR="00A36849" w:rsidRDefault="00A36849" w:rsidP="00A36849"/>
    <w:p w14:paraId="7149920A" w14:textId="77777777" w:rsidR="00A36849" w:rsidRPr="00F163B6" w:rsidRDefault="00A36849" w:rsidP="00A36849">
      <w:pPr>
        <w:rPr>
          <w:highlight w:val="darkGray"/>
        </w:rPr>
      </w:pPr>
      <w:bookmarkStart w:id="0" w:name="_GoBack"/>
      <w:bookmarkEnd w:id="0"/>
      <w:r w:rsidRPr="00F163B6">
        <w:rPr>
          <w:highlight w:val="darkGray"/>
        </w:rPr>
        <w:t>According to EU legislation, ACER annually reviews the implementation of this mechanism and the management of the ITC Fund established by ENTSO-E for the purpose of compensating Transmission System Operators for the costs incurred on national transmission systems due to hosting cross-border flows of electricity.</w:t>
      </w:r>
    </w:p>
    <w:p w14:paraId="2E748651" w14:textId="77777777" w:rsidR="00A36849" w:rsidRPr="00F163B6" w:rsidRDefault="00A36849" w:rsidP="00A36849">
      <w:pPr>
        <w:rPr>
          <w:highlight w:val="darkGray"/>
        </w:rPr>
      </w:pPr>
    </w:p>
    <w:p w14:paraId="47518E7E" w14:textId="77777777" w:rsidR="00A36849" w:rsidRPr="00F163B6" w:rsidRDefault="00A36849" w:rsidP="00A36849">
      <w:pPr>
        <w:rPr>
          <w:highlight w:val="darkGray"/>
        </w:rPr>
      </w:pPr>
      <w:r w:rsidRPr="00F163B6">
        <w:rPr>
          <w:highlight w:val="darkGray"/>
        </w:rPr>
        <w:t>The Agency notes in its latest report that the ITC Fund remained relatively stable compared to 2017, amounting to €256.5 million. The volume of losses due to transit, after a significant 20% increase from 2016 to 2017, decreased by 13.7% from 2017 to 2018. In parallel, the weighted average value of losses increased by 14% from 35.36 €/MWh to 40.25 €/MWh, which reversed the trend of a gradual decrease of this value since 2012.</w:t>
      </w:r>
    </w:p>
    <w:p w14:paraId="1ED4530A" w14:textId="77777777" w:rsidR="00A36849" w:rsidRPr="0032105B" w:rsidRDefault="00A36849" w:rsidP="00A36849">
      <w:pPr>
        <w:rPr>
          <w:highlight w:val="lightGray"/>
        </w:rPr>
      </w:pPr>
    </w:p>
    <w:p w14:paraId="52826340" w14:textId="77777777" w:rsidR="00A36849" w:rsidRDefault="00A36849" w:rsidP="00A36849">
      <w:r w:rsidRPr="00510CF1">
        <w:rPr>
          <w:highlight w:val="darkGray"/>
        </w:rPr>
        <w:t>In 2018, the transmission system use fee paid by non-ITC Parties for their scheduled imports from and scheduled exports to the ITC Parties' networks (i.e. Perimeter countries' fee) increased to 0.6 €/MWh and the contribution of the Perimeter countries to the ITC Fund increased to 5.8% (compared to 0.5 €/MWh and 4.6% in 2017).</w:t>
      </w:r>
    </w:p>
    <w:p w14:paraId="6F266610" w14:textId="77777777" w:rsidR="00A36849" w:rsidRDefault="00A36849" w:rsidP="00A36849"/>
    <w:p w14:paraId="5ACD5080" w14:textId="2F266F85" w:rsidR="00BE080D" w:rsidRDefault="00A36849" w:rsidP="00A36849">
      <w:r>
        <w:t>The full report is available here.</w:t>
      </w:r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3E"/>
    <w:rsid w:val="001C013E"/>
    <w:rsid w:val="0032105B"/>
    <w:rsid w:val="00453EED"/>
    <w:rsid w:val="00510CF1"/>
    <w:rsid w:val="00A36849"/>
    <w:rsid w:val="00BE080D"/>
    <w:rsid w:val="00F1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068D4"/>
  <w14:defaultImageDpi w14:val="32767"/>
  <w15:chartTrackingRefBased/>
  <w15:docId w15:val="{AC6EA0F8-DC64-F140-B309-B89D55EA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6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6773">
                  <w:marLeft w:val="0"/>
                  <w:marRight w:val="0"/>
                  <w:marTop w:val="1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5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7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38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89733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7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5</cp:revision>
  <dcterms:created xsi:type="dcterms:W3CDTF">2020-02-14T10:33:00Z</dcterms:created>
  <dcterms:modified xsi:type="dcterms:W3CDTF">2020-04-08T11:18:00Z</dcterms:modified>
</cp:coreProperties>
</file>