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B9593" w14:textId="77777777" w:rsidR="00422635" w:rsidRPr="005202D1" w:rsidRDefault="00422635" w:rsidP="00422635">
      <w:pPr>
        <w:rPr>
          <w:highlight w:val="lightGray"/>
        </w:rPr>
      </w:pPr>
      <w:r w:rsidRPr="005202D1">
        <w:rPr>
          <w:highlight w:val="lightGray"/>
        </w:rPr>
        <w:t>ACER publishes the Costs report on day-ahead and intraday coupling for 2017</w:t>
      </w:r>
    </w:p>
    <w:p w14:paraId="45C5E159" w14:textId="77777777" w:rsidR="00422635" w:rsidRPr="005202D1" w:rsidRDefault="00422635" w:rsidP="00422635">
      <w:pPr>
        <w:rPr>
          <w:highlight w:val="lightGray"/>
        </w:rPr>
      </w:pPr>
    </w:p>
    <w:p w14:paraId="5362EEF8" w14:textId="77777777" w:rsidR="00422635" w:rsidRPr="005202D1" w:rsidRDefault="00422635" w:rsidP="00422635">
      <w:pPr>
        <w:rPr>
          <w:highlight w:val="lightGray"/>
        </w:rPr>
      </w:pPr>
      <w:r w:rsidRPr="005202D1">
        <w:rPr>
          <w:highlight w:val="lightGray"/>
        </w:rPr>
        <w:t>11/03/2019</w:t>
      </w:r>
    </w:p>
    <w:p w14:paraId="15767F8E" w14:textId="77777777" w:rsidR="00422635" w:rsidRPr="005202D1" w:rsidRDefault="00422635" w:rsidP="00422635">
      <w:pPr>
        <w:rPr>
          <w:highlight w:val="lightGray"/>
        </w:rPr>
      </w:pPr>
      <w:proofErr w:type="spellStart"/>
      <w:r w:rsidRPr="005202D1">
        <w:rPr>
          <w:highlight w:val="lightGray"/>
        </w:rPr>
        <w:t>TwitterFacebookLinkedInE</w:t>
      </w:r>
      <w:proofErr w:type="spellEnd"/>
      <w:r w:rsidRPr="005202D1">
        <w:rPr>
          <w:highlight w:val="lightGray"/>
        </w:rPr>
        <w:t>-mail</w:t>
      </w:r>
    </w:p>
    <w:p w14:paraId="7E082DCB" w14:textId="77777777" w:rsidR="00422635" w:rsidRPr="005202D1" w:rsidRDefault="00422635" w:rsidP="00422635">
      <w:pPr>
        <w:rPr>
          <w:highlight w:val="lightGray"/>
        </w:rPr>
      </w:pPr>
      <w:r w:rsidRPr="005202D1">
        <w:rPr>
          <w:highlight w:val="lightGray"/>
        </w:rPr>
        <w:t>​ACER publishes the Costs report on day-ahead and intraday coupling for 2017</w:t>
      </w:r>
    </w:p>
    <w:p w14:paraId="1AD1C254" w14:textId="77777777" w:rsidR="00422635" w:rsidRPr="005202D1" w:rsidRDefault="00422635" w:rsidP="00422635">
      <w:pPr>
        <w:rPr>
          <w:highlight w:val="lightGray"/>
        </w:rPr>
      </w:pPr>
    </w:p>
    <w:p w14:paraId="7C18D479" w14:textId="77777777" w:rsidR="00422635" w:rsidRDefault="00422635" w:rsidP="00422635">
      <w:r w:rsidRPr="005202D1">
        <w:rPr>
          <w:highlight w:val="lightGray"/>
        </w:rPr>
        <w:t>The Agency publishes today the yearly report on the costs</w:t>
      </w:r>
      <w:bookmarkStart w:id="0" w:name="_GoBack"/>
      <w:bookmarkEnd w:id="0"/>
      <w:r w:rsidRPr="005202D1">
        <w:rPr>
          <w:highlight w:val="lightGray"/>
        </w:rPr>
        <w:t xml:space="preserve"> reported by Nominated Electricity Market Operators (NEMOs) and Transmission System Operators (TSOs) in order to establish, amend and operate single day-ahead and intraday coupling,</w:t>
      </w:r>
      <w:r>
        <w:t xml:space="preserve"> </w:t>
      </w:r>
      <w:r w:rsidRPr="000F1168">
        <w:rPr>
          <w:highlight w:val="yellow"/>
        </w:rPr>
        <w:t>according to the EU Regulation on Capacity Allocation and Congestion Management (CACM Regulation). The report covers the year 2017.</w:t>
      </w:r>
    </w:p>
    <w:p w14:paraId="5F9C1C7E" w14:textId="77777777" w:rsidR="00422635" w:rsidRDefault="00422635" w:rsidP="00422635"/>
    <w:p w14:paraId="02FDF567" w14:textId="77777777" w:rsidR="00422635" w:rsidRDefault="00422635" w:rsidP="00422635">
      <w:r w:rsidRPr="000F1168">
        <w:rPr>
          <w:highlight w:val="yellow"/>
        </w:rPr>
        <w:t>The CACM Regulation establishes that all relevant NEMOs and TSOs shall provide a yearly report to the regulatory authorities in which the above-mentioned costs are explained in detail. You can access the report here.</w:t>
      </w:r>
    </w:p>
    <w:p w14:paraId="63BC2BE9" w14:textId="77777777" w:rsidR="00422635" w:rsidRDefault="00422635" w:rsidP="00422635"/>
    <w:p w14:paraId="1F31DD0E" w14:textId="44ED6C07" w:rsidR="00BE080D" w:rsidRDefault="00422635" w:rsidP="00422635">
      <w:r>
        <w:t>Find out more here.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B5"/>
    <w:rsid w:val="000F1168"/>
    <w:rsid w:val="00422635"/>
    <w:rsid w:val="00453EED"/>
    <w:rsid w:val="005202D1"/>
    <w:rsid w:val="009535B5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A6868"/>
  <w14:defaultImageDpi w14:val="32767"/>
  <w15:chartTrackingRefBased/>
  <w15:docId w15:val="{59736961-6B1D-4D4B-B3D4-F921B639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3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0396">
                  <w:marLeft w:val="0"/>
                  <w:marRight w:val="0"/>
                  <w:marTop w:val="1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1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8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3490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2020-02-14T11:16:00Z</dcterms:created>
  <dcterms:modified xsi:type="dcterms:W3CDTF">2020-04-10T12:30:00Z</dcterms:modified>
</cp:coreProperties>
</file>