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DA4E" w14:textId="77777777" w:rsidR="008004A6" w:rsidRPr="008004A6" w:rsidRDefault="008004A6" w:rsidP="008004A6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spellStart"/>
      <w:r w:rsidRPr="008004A6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Cedefop</w:t>
      </w:r>
      <w:proofErr w:type="spellEnd"/>
      <w:r w:rsidRPr="008004A6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launches ‘matching skills’ online information tool</w:t>
      </w:r>
    </w:p>
    <w:p w14:paraId="792EA565" w14:textId="234EAEFC" w:rsidR="008004A6" w:rsidRPr="008004A6" w:rsidRDefault="008004A6" w:rsidP="008004A6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004A6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8004A6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"/var/folders/nj/m875g2tj2j50hjqpdb11s_540000gn/T/com.microsoft.Word/WebArchiveCopyPasteTempFiles/logo-skills-mismatch-480_2_edited.png" \* MERGEFORMATINET </w:instrText>
      </w:r>
      <w:r w:rsidRPr="008004A6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8004A6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7EF8B5EA" wp14:editId="5F42DE15">
            <wp:extent cx="5943600" cy="3987800"/>
            <wp:effectExtent l="0" t="0" r="0" b="0"/>
            <wp:docPr id="1" name="Picture 1" descr="/var/folders/nj/m875g2tj2j50hjqpdb11s_540000gn/T/com.microsoft.Word/WebArchiveCopyPasteTempFiles/logo-skills-mismatch-480_2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logo-skills-mismatch-480_2_edi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4A6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0D8C0357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The new </w:t>
      </w:r>
      <w:proofErr w:type="spellStart"/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Cedefop</w:t>
      </w:r>
      <w:proofErr w:type="spellEnd"/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database ‘</w:t>
      </w:r>
      <w:hyperlink r:id="rId6" w:history="1">
        <w:r w:rsidRPr="00FB43C2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Matching skills: Inspiring policies for anticipating and matching skill needs</w:t>
        </w:r>
      </w:hyperlink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’ presents education and training and </w:t>
      </w:r>
      <w:proofErr w:type="spellStart"/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labour</w:t>
      </w:r>
      <w:proofErr w:type="spellEnd"/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market </w:t>
      </w:r>
      <w:hyperlink r:id="rId7" w:history="1">
        <w:r w:rsidRPr="00FB43C2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policy instruments</w:t>
        </w:r>
      </w:hyperlink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 in EU Member States that aim to match individuals’ skills (jobseekers and students) to current and anticipated </w:t>
      </w:r>
      <w:proofErr w:type="spellStart"/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labour</w:t>
      </w:r>
      <w:proofErr w:type="spellEnd"/>
      <w:r w:rsidRPr="00FB43C2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market needs.</w:t>
      </w:r>
    </w:p>
    <w:p w14:paraId="4F68C698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These policy instruments use an evidence-based approach to inform and shape upskilling or other skills matching policies for the current and future world of work.</w:t>
      </w:r>
    </w:p>
    <w:p w14:paraId="01979295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The tool, which is designed for policy-makers working on education and training, skills, (active) </w:t>
      </w:r>
      <w:proofErr w:type="spellStart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labour</w:t>
      </w:r>
      <w:proofErr w:type="spellEnd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market policy and related policy areas, showcases innovative and recently implemented policy instruments aimed at tackling unemployment or making vocational education and training (VET) more responsive to future </w:t>
      </w:r>
      <w:proofErr w:type="spellStart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labour</w:t>
      </w:r>
      <w:proofErr w:type="spellEnd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market developments, using information on </w:t>
      </w:r>
      <w:proofErr w:type="spellStart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labour</w:t>
      </w:r>
      <w:proofErr w:type="spellEnd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market trends and anticipated skill needs.</w:t>
      </w:r>
    </w:p>
    <w:p w14:paraId="2EDF1E0B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bookmarkStart w:id="0" w:name="_GoBack"/>
      <w:bookmarkEnd w:id="0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It helps understand, in a comparative manner, the approaches used and the rationales behind them; it provides information on practical </w:t>
      </w:r>
      <w:proofErr w:type="spellStart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organisation</w:t>
      </w:r>
      <w:proofErr w:type="spellEnd"/>
      <w:r w:rsidRPr="00FB43C2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, funding and stakeholder involvement; it also provides insight on how innovative and successful a policy instrument is and whether it could be successfully applied elsewhere.</w:t>
      </w:r>
    </w:p>
    <w:p w14:paraId="40906384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The database structures and displays information in a way that can be readily accessed and interpreted. It includes:</w:t>
      </w:r>
    </w:p>
    <w:p w14:paraId="7E4683EC" w14:textId="77777777" w:rsidR="008004A6" w:rsidRPr="008004A6" w:rsidRDefault="008004A6" w:rsidP="008004A6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>126 </w:t>
      </w:r>
      <w:hyperlink r:id="rId8" w:history="1">
        <w:r w:rsidRPr="008004A6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current skills</w:t>
        </w:r>
      </w:hyperlink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 matching policies – to aid jobseekers’ return to work and job mobility, and provide better guidance for school-to-work transitions;</w:t>
      </w:r>
    </w:p>
    <w:p w14:paraId="723FE978" w14:textId="77777777" w:rsidR="008004A6" w:rsidRPr="008004A6" w:rsidRDefault="008004A6" w:rsidP="008004A6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31 anticipating </w:t>
      </w:r>
      <w:hyperlink r:id="rId9" w:history="1">
        <w:r w:rsidRPr="008004A6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future skills</w:t>
        </w:r>
      </w:hyperlink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 policies – to better prepare the workforce for the future of work;</w:t>
      </w:r>
    </w:p>
    <w:p w14:paraId="18ECA0CC" w14:textId="77777777" w:rsidR="008004A6" w:rsidRPr="008004A6" w:rsidRDefault="00FB43C2" w:rsidP="008004A6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hyperlink r:id="rId10" w:history="1">
        <w:r w:rsidR="008004A6" w:rsidRPr="008004A6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Comprehensive overviews for all EU Member States</w:t>
        </w:r>
      </w:hyperlink>
      <w:r w:rsidR="008004A6" w:rsidRPr="008004A6">
        <w:rPr>
          <w:rFonts w:ascii="inherit" w:eastAsia="Times New Roman" w:hAnsi="inherit" w:cs="Times New Roman"/>
          <w:color w:val="333333"/>
          <w:sz w:val="20"/>
          <w:szCs w:val="20"/>
        </w:rPr>
        <w:t> – to learn and understand what EU countries are doing to promote better skills matching;</w:t>
      </w:r>
    </w:p>
    <w:p w14:paraId="48E183DB" w14:textId="77777777" w:rsidR="008004A6" w:rsidRPr="008004A6" w:rsidRDefault="008004A6" w:rsidP="008004A6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A </w:t>
      </w:r>
      <w:hyperlink r:id="rId11" w:history="1">
        <w:r w:rsidRPr="008004A6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map interface</w:t>
        </w:r>
      </w:hyperlink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 to quickly locate policy instruments in particular countries;</w:t>
      </w:r>
    </w:p>
    <w:p w14:paraId="0E8C48EB" w14:textId="77777777" w:rsidR="008004A6" w:rsidRPr="008004A6" w:rsidRDefault="008004A6" w:rsidP="008004A6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A user </w:t>
      </w:r>
      <w:hyperlink r:id="rId12" w:history="1">
        <w:r w:rsidRPr="008004A6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feedback section</w:t>
        </w:r>
      </w:hyperlink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 and a template to report on additional skills matching policies in each Member State.</w:t>
      </w:r>
    </w:p>
    <w:p w14:paraId="36D6297A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We want to interact with you! </w:t>
      </w:r>
    </w:p>
    <w:p w14:paraId="5101F972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Send us </w:t>
      </w:r>
      <w:hyperlink r:id="rId13" w:history="1">
        <w:r w:rsidRPr="008004A6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feedback</w:t>
        </w:r>
      </w:hyperlink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 and let us know how this information tool can inspire you and inform the design or reform of forward-looking skills matching policies and practices in your country or region. Use the template so that the tool can grow and become a rich platform for policy learning. </w:t>
      </w:r>
    </w:p>
    <w:p w14:paraId="53CB793B" w14:textId="77777777" w:rsidR="008004A6" w:rsidRPr="008004A6" w:rsidRDefault="008004A6" w:rsidP="008004A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 xml:space="preserve">Stay tuned for more content on skills anticipation instruments in EU countries and VET/lifelong learning policies to prepare workers for the </w:t>
      </w:r>
      <w:proofErr w:type="spellStart"/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>digitalisation</w:t>
      </w:r>
      <w:proofErr w:type="spellEnd"/>
      <w:r w:rsidRPr="008004A6">
        <w:rPr>
          <w:rFonts w:ascii="inherit" w:eastAsia="Times New Roman" w:hAnsi="inherit" w:cs="Times New Roman"/>
          <w:color w:val="333333"/>
          <w:sz w:val="20"/>
          <w:szCs w:val="20"/>
        </w:rPr>
        <w:t xml:space="preserve"> challenges and the future of work.</w:t>
      </w:r>
    </w:p>
    <w:p w14:paraId="367F746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46C72"/>
    <w:multiLevelType w:val="multilevel"/>
    <w:tmpl w:val="4874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24"/>
    <w:rsid w:val="00453EED"/>
    <w:rsid w:val="008004A6"/>
    <w:rsid w:val="00BE080D"/>
    <w:rsid w:val="00DE3324"/>
    <w:rsid w:val="00F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0A58A"/>
  <w14:defaultImageDpi w14:val="32767"/>
  <w15:chartTrackingRefBased/>
  <w15:docId w15:val="{0517F9BE-C9D4-1F43-A6A6-0672D636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4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4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04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004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04A6"/>
  </w:style>
  <w:style w:type="character" w:styleId="Strong">
    <w:name w:val="Strong"/>
    <w:basedOn w:val="DefaultParagraphFont"/>
    <w:uiPriority w:val="22"/>
    <w:qFormat/>
    <w:rsid w:val="00800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9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defop.europa.eu/en/tools/matching-skills/policy-instruments/current" TargetMode="External"/><Relationship Id="rId13" Type="http://schemas.openxmlformats.org/officeDocument/2006/relationships/hyperlink" Target="http://www.cedefop.europa.eu/en/tools/matching-skills/feedback-t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defop.europa.eu/en/tools/matching-skills/all-instruments" TargetMode="External"/><Relationship Id="rId12" Type="http://schemas.openxmlformats.org/officeDocument/2006/relationships/hyperlink" Target="http://www.cedefop.europa.eu/en/tools/matching-skills/feedback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defop.europa.eu/en/tools/matching-skills/policy-instruments-map" TargetMode="External"/><Relationship Id="rId11" Type="http://schemas.openxmlformats.org/officeDocument/2006/relationships/hyperlink" Target="http://www.cedefop.europa.eu/en/tools/matching-skills/policy-instruments-ma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cedefop.europa.eu/en/tools/matching-skills/country-fi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defop.europa.eu/en/tools/matching-skills/policy-instruments/fu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2020-02-20T10:54:00Z</dcterms:created>
  <dcterms:modified xsi:type="dcterms:W3CDTF">2020-03-29T11:44:00Z</dcterms:modified>
</cp:coreProperties>
</file>