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5A27" w14:textId="77777777" w:rsidR="007A5E37" w:rsidRDefault="007A5E37" w:rsidP="007A5E37">
      <w:r>
        <w:t>EASA publishes Opinion “Standard scenarios for UAS operations in the ‘specific’ category”</w:t>
      </w:r>
    </w:p>
    <w:p w14:paraId="56AC42AA" w14:textId="77777777" w:rsidR="007A5E37" w:rsidRDefault="007A5E37" w:rsidP="007A5E37">
      <w:r>
        <w:t>News category:  Drones</w:t>
      </w:r>
    </w:p>
    <w:p w14:paraId="29864BF3" w14:textId="77777777" w:rsidR="007A5E37" w:rsidRDefault="007A5E37" w:rsidP="007A5E37">
      <w:r>
        <w:t>Related News</w:t>
      </w:r>
    </w:p>
    <w:p w14:paraId="201C7B1A" w14:textId="77777777" w:rsidR="007A5E37" w:rsidRDefault="007A5E37" w:rsidP="007A5E37">
      <w:r>
        <w:t>Related Content</w:t>
      </w:r>
    </w:p>
    <w:p w14:paraId="7FAB5568" w14:textId="77777777" w:rsidR="007A5E37" w:rsidRDefault="007A5E37" w:rsidP="007A5E37"/>
    <w:p w14:paraId="6AF86320" w14:textId="77777777" w:rsidR="007A5E37" w:rsidRDefault="007A5E37" w:rsidP="007A5E37">
      <w:r w:rsidRPr="00C347FC">
        <w:rPr>
          <w:highlight w:val="lightGray"/>
        </w:rPr>
        <w:t xml:space="preserve">EASA has published the Opinion 05/2019 “Standard scenarios for UAS (Unmanned Aircraft Systems) operations in the ‘specific’ category” </w:t>
      </w:r>
      <w:r w:rsidRPr="00557B5E">
        <w:rPr>
          <w:highlight w:val="yellow"/>
        </w:rPr>
        <w:t>which is proposing amendments to the new European Drone Rules. T</w:t>
      </w:r>
      <w:r w:rsidRPr="00C347FC">
        <w:rPr>
          <w:highlight w:val="lightGray"/>
        </w:rPr>
        <w:t xml:space="preserve">he objective of the Opinion is to increase the cost-effectiveness for drone operators, manufacturers and competent authorities, and to improve the </w:t>
      </w:r>
      <w:proofErr w:type="spellStart"/>
      <w:r w:rsidRPr="00C347FC">
        <w:rPr>
          <w:highlight w:val="lightGray"/>
        </w:rPr>
        <w:t>harmonisation</w:t>
      </w:r>
      <w:proofErr w:type="spellEnd"/>
      <w:r w:rsidRPr="00C347FC">
        <w:rPr>
          <w:highlight w:val="lightGray"/>
        </w:rPr>
        <w:t xml:space="preserve"> of drone operations throughout Europe.</w:t>
      </w:r>
    </w:p>
    <w:p w14:paraId="55FFB5A4" w14:textId="77777777" w:rsidR="007A5E37" w:rsidRDefault="007A5E37" w:rsidP="007A5E37"/>
    <w:p w14:paraId="4DE82786" w14:textId="77777777" w:rsidR="007A5E37" w:rsidRDefault="007A5E37" w:rsidP="007A5E37">
      <w:bookmarkStart w:id="0" w:name="_GoBack"/>
      <w:bookmarkEnd w:id="0"/>
      <w:r w:rsidRPr="00557B5E">
        <w:rPr>
          <w:highlight w:val="yellow"/>
        </w:rPr>
        <w:t xml:space="preserve">The Opinion covers two standard scenarios to facilitate some UAS operations posing a low risk in the specific category. For those, drone operators will be allowed to just send a declaration to the respective authority instead of applying and waiting for an </w:t>
      </w:r>
      <w:proofErr w:type="spellStart"/>
      <w:r w:rsidRPr="00557B5E">
        <w:rPr>
          <w:highlight w:val="yellow"/>
        </w:rPr>
        <w:t>authorisation</w:t>
      </w:r>
      <w:proofErr w:type="spellEnd"/>
      <w:r w:rsidRPr="00557B5E">
        <w:rPr>
          <w:highlight w:val="yellow"/>
        </w:rPr>
        <w:t>. The standard scenarios include Urban VLOS (Visual Line of Sight) and Rural BVLOS (Beyond Visual Line of Sight) above control ground area operations.</w:t>
      </w:r>
    </w:p>
    <w:p w14:paraId="5E411C70" w14:textId="77777777" w:rsidR="007A5E37" w:rsidRDefault="007A5E37" w:rsidP="007A5E37"/>
    <w:p w14:paraId="0A5B71F0" w14:textId="02ECEFF3" w:rsidR="00BE080D" w:rsidRDefault="007A5E37" w:rsidP="007A5E37">
      <w:r w:rsidRPr="00C347FC">
        <w:rPr>
          <w:highlight w:val="yellow"/>
        </w:rPr>
        <w:t>The Opinion will be transformed in a legislative act by the EU Commission and adopted after positive vote by the EU member States expected in February 2020.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C2"/>
    <w:rsid w:val="00453EED"/>
    <w:rsid w:val="005469C2"/>
    <w:rsid w:val="00557B5E"/>
    <w:rsid w:val="007A5E37"/>
    <w:rsid w:val="00BE080D"/>
    <w:rsid w:val="00C3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43B83"/>
  <w14:defaultImageDpi w14:val="32767"/>
  <w15:chartTrackingRefBased/>
  <w15:docId w15:val="{A576434B-8569-EF4F-899E-A36798B7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2723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1636449868">
              <w:marLeft w:val="0"/>
              <w:marRight w:val="165"/>
              <w:marTop w:val="75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5315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9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1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321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2020-02-14T12:18:00Z</dcterms:created>
  <dcterms:modified xsi:type="dcterms:W3CDTF">2020-04-12T13:39:00Z</dcterms:modified>
</cp:coreProperties>
</file>