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1B786" w14:textId="724520EF" w:rsidR="00FE236F" w:rsidRPr="00FE236F" w:rsidRDefault="00E07AC0" w:rsidP="00FE236F">
      <w:pPr>
        <w:outlineLvl w:val="0"/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</w:rPr>
        <w:t>T</w:t>
      </w:r>
      <w:r w:rsidR="00FE236F" w:rsidRPr="00FE236F">
        <w:rPr>
          <w:rFonts w:ascii="Arial" w:eastAsia="Times New Roman" w:hAnsi="Arial" w:cs="Arial"/>
          <w:b/>
          <w:bCs/>
          <w:color w:val="144473"/>
          <w:kern w:val="36"/>
          <w:sz w:val="48"/>
          <w:szCs w:val="48"/>
        </w:rPr>
        <w:t>he new EASA approach for the definition of Level of Involvement (LOI)</w:t>
      </w:r>
    </w:p>
    <w:p w14:paraId="7A4A80BE" w14:textId="77777777" w:rsidR="00FE236F" w:rsidRPr="00FE236F" w:rsidRDefault="00AA4A1A" w:rsidP="00FE236F">
      <w:pPr>
        <w:shd w:val="clear" w:color="auto" w:fill="FFFFFF"/>
        <w:ind w:left="720"/>
        <w:rPr>
          <w:rFonts w:ascii="Arial" w:eastAsia="Times New Roman" w:hAnsi="Arial" w:cs="Arial"/>
          <w:color w:val="2B81C5"/>
          <w:sz w:val="27"/>
          <w:szCs w:val="27"/>
        </w:rPr>
      </w:pPr>
      <w:hyperlink r:id="rId4" w:anchor="group-easa-related-content" w:history="1">
        <w:r w:rsidR="00FE236F" w:rsidRPr="00FE236F">
          <w:rPr>
            <w:rFonts w:ascii="Arial" w:eastAsia="Times New Roman" w:hAnsi="Arial" w:cs="Arial"/>
            <w:color w:val="2B81C5"/>
            <w:sz w:val="27"/>
            <w:szCs w:val="27"/>
            <w:u w:val="single"/>
            <w:bdr w:val="none" w:sz="0" w:space="0" w:color="auto" w:frame="1"/>
          </w:rPr>
          <w:t>Related Content</w:t>
        </w:r>
      </w:hyperlink>
    </w:p>
    <w:p w14:paraId="1739FCFA" w14:textId="77777777" w:rsidR="00FE236F" w:rsidRPr="00FE236F" w:rsidRDefault="00FE236F" w:rsidP="00FE236F">
      <w:pPr>
        <w:spacing w:after="480"/>
        <w:rPr>
          <w:rFonts w:ascii="inherit" w:eastAsia="Times New Roman" w:hAnsi="inherit" w:cs="Arial"/>
          <w:color w:val="555555"/>
          <w:sz w:val="27"/>
          <w:szCs w:val="27"/>
        </w:rPr>
      </w:pPr>
      <w:r w:rsidRPr="00B3334C">
        <w:rPr>
          <w:rFonts w:ascii="inherit" w:eastAsia="Times New Roman" w:hAnsi="inherit" w:cs="Arial"/>
          <w:color w:val="555555"/>
          <w:sz w:val="27"/>
          <w:szCs w:val="27"/>
          <w:highlight w:val="yellow"/>
        </w:rPr>
        <w:t>On 3 June 2019, the European Commission has published </w:t>
      </w:r>
      <w:hyperlink r:id="rId5" w:history="1">
        <w:r w:rsidRPr="00B3334C">
          <w:rPr>
            <w:rFonts w:ascii="inherit" w:eastAsia="Times New Roman" w:hAnsi="inherit" w:cs="Arial"/>
            <w:color w:val="1C5893"/>
            <w:sz w:val="27"/>
            <w:szCs w:val="27"/>
            <w:highlight w:val="yellow"/>
            <w:u w:val="single"/>
          </w:rPr>
          <w:t>Commission Regulation (EU) 2019/897</w:t>
        </w:r>
      </w:hyperlink>
      <w:r w:rsidRPr="00B3334C">
        <w:rPr>
          <w:rFonts w:ascii="inherit" w:eastAsia="Times New Roman" w:hAnsi="inherit" w:cs="Arial"/>
          <w:color w:val="555555"/>
          <w:sz w:val="27"/>
          <w:szCs w:val="27"/>
          <w:highlight w:val="yellow"/>
        </w:rPr>
        <w:t> amending Regulation (EU) No 748/2012 as regards of the inclusion of risk-based compliance verification and the implementation of requirements for environmental protection.</w:t>
      </w:r>
    </w:p>
    <w:p w14:paraId="26AAB15A" w14:textId="77777777" w:rsidR="00FE236F" w:rsidRPr="00FE236F" w:rsidRDefault="00FE236F" w:rsidP="00FE236F">
      <w:pPr>
        <w:spacing w:after="480"/>
        <w:rPr>
          <w:rFonts w:ascii="inherit" w:eastAsia="Times New Roman" w:hAnsi="inherit" w:cs="Arial"/>
          <w:color w:val="555555"/>
          <w:sz w:val="27"/>
          <w:szCs w:val="27"/>
        </w:rPr>
      </w:pPr>
      <w:bookmarkStart w:id="0" w:name="_GoBack"/>
      <w:bookmarkEnd w:id="0"/>
      <w:r w:rsidRPr="00AA4A1A">
        <w:rPr>
          <w:rFonts w:ascii="inherit" w:eastAsia="Times New Roman" w:hAnsi="inherit" w:cs="Arial"/>
          <w:color w:val="555555"/>
          <w:sz w:val="27"/>
          <w:szCs w:val="27"/>
          <w:highlight w:val="yellow"/>
        </w:rPr>
        <w:t>The main element of this Regulation is an amendment of the certification process in respect of what is commonly referred to as “Level of Involvement (LOI)”.</w:t>
      </w:r>
    </w:p>
    <w:p w14:paraId="7D629BD0" w14:textId="77777777" w:rsidR="00FE236F" w:rsidRPr="00FE236F" w:rsidRDefault="00FE236F" w:rsidP="00FE236F">
      <w:pPr>
        <w:spacing w:after="480"/>
        <w:rPr>
          <w:rFonts w:ascii="inherit" w:eastAsia="Times New Roman" w:hAnsi="inherit" w:cs="Arial"/>
          <w:color w:val="555555"/>
          <w:sz w:val="27"/>
          <w:szCs w:val="27"/>
        </w:rPr>
      </w:pPr>
      <w:r w:rsidRPr="00FE236F">
        <w:rPr>
          <w:rFonts w:ascii="inherit" w:eastAsia="Times New Roman" w:hAnsi="inherit" w:cs="Arial"/>
          <w:b/>
          <w:bCs/>
          <w:color w:val="555555"/>
          <w:sz w:val="27"/>
          <w:szCs w:val="27"/>
        </w:rPr>
        <w:t>The new LOI concept</w:t>
      </w:r>
      <w:r w:rsidRPr="00FE236F">
        <w:rPr>
          <w:rFonts w:ascii="inherit" w:eastAsia="Times New Roman" w:hAnsi="inherit" w:cs="Arial"/>
          <w:color w:val="555555"/>
          <w:sz w:val="27"/>
          <w:szCs w:val="27"/>
        </w:rPr>
        <w:br/>
        <w:t xml:space="preserve">Affected applicants will have to propose a break-down of the certification </w:t>
      </w:r>
      <w:proofErr w:type="spellStart"/>
      <w:r w:rsidRPr="00FE236F">
        <w:rPr>
          <w:rFonts w:ascii="inherit" w:eastAsia="Times New Roman" w:hAnsi="inherit" w:cs="Arial"/>
          <w:color w:val="555555"/>
          <w:sz w:val="27"/>
          <w:szCs w:val="27"/>
        </w:rPr>
        <w:t>programme</w:t>
      </w:r>
      <w:proofErr w:type="spellEnd"/>
      <w:r w:rsidRPr="00FE236F">
        <w:rPr>
          <w:rFonts w:ascii="inherit" w:eastAsia="Times New Roman" w:hAnsi="inherit" w:cs="Arial"/>
          <w:color w:val="555555"/>
          <w:sz w:val="27"/>
          <w:szCs w:val="27"/>
        </w:rPr>
        <w:t xml:space="preserve"> into meaningful groups of compliance demonstration activities and data (ref to point 21.A.15(b)(5)and similar provisions).</w:t>
      </w:r>
      <w:r w:rsidRPr="00FE236F">
        <w:rPr>
          <w:rFonts w:ascii="inherit" w:eastAsia="Times New Roman" w:hAnsi="inherit" w:cs="Arial"/>
          <w:color w:val="555555"/>
          <w:sz w:val="27"/>
          <w:szCs w:val="27"/>
        </w:rPr>
        <w:br/>
        <w:t>Then, for each identified group of compliance demonstration activities and data, the affected applicants will have to perform a risk assessment considering the likelihood of an unidentified non-compliance with the type-certification basis, operational suitability data certification basis or environmental protection requirements and the potential impact of that non-compliance on product safety or environmental protection. </w:t>
      </w:r>
      <w:r w:rsidRPr="00FE236F">
        <w:rPr>
          <w:rFonts w:ascii="inherit" w:eastAsia="Times New Roman" w:hAnsi="inherit" w:cs="Arial"/>
          <w:color w:val="555555"/>
          <w:sz w:val="27"/>
          <w:szCs w:val="27"/>
        </w:rPr>
        <w:br/>
        <w:t>Based on this assessment, the applicant shall make a proposal for the Agency's involvement in the verification of the compliance demonstration activities and data.</w:t>
      </w:r>
    </w:p>
    <w:p w14:paraId="4B007DC3" w14:textId="77777777" w:rsidR="00FE236F" w:rsidRPr="00FE236F" w:rsidRDefault="00FE236F" w:rsidP="00FE236F">
      <w:pPr>
        <w:spacing w:after="480"/>
        <w:rPr>
          <w:rFonts w:ascii="inherit" w:eastAsia="Times New Roman" w:hAnsi="inherit" w:cs="Arial"/>
          <w:color w:val="555555"/>
          <w:sz w:val="27"/>
          <w:szCs w:val="27"/>
        </w:rPr>
      </w:pPr>
      <w:r w:rsidRPr="00FE236F">
        <w:rPr>
          <w:rFonts w:ascii="inherit" w:eastAsia="Times New Roman" w:hAnsi="inherit" w:cs="Arial"/>
          <w:color w:val="555555"/>
          <w:sz w:val="27"/>
          <w:szCs w:val="27"/>
        </w:rPr>
        <w:t>EASA will determine its LOI considering the proposals submitted by the affected applicants.</w:t>
      </w:r>
    </w:p>
    <w:p w14:paraId="6CE57DC6" w14:textId="77777777" w:rsidR="00FE236F" w:rsidRPr="00FE236F" w:rsidRDefault="00FE236F" w:rsidP="00FE236F">
      <w:pPr>
        <w:spacing w:after="480"/>
        <w:rPr>
          <w:rFonts w:ascii="inherit" w:eastAsia="Times New Roman" w:hAnsi="inherit" w:cs="Arial"/>
          <w:color w:val="555555"/>
          <w:sz w:val="27"/>
          <w:szCs w:val="27"/>
        </w:rPr>
      </w:pPr>
      <w:r w:rsidRPr="00FE236F">
        <w:rPr>
          <w:rFonts w:ascii="inherit" w:eastAsia="Times New Roman" w:hAnsi="inherit" w:cs="Arial"/>
          <w:color w:val="555555"/>
          <w:sz w:val="27"/>
          <w:szCs w:val="27"/>
        </w:rPr>
        <w:t xml:space="preserve">Details about this new LOI concept, as well as possible means of compliance with these new points in Part </w:t>
      </w:r>
      <w:proofErr w:type="gramStart"/>
      <w:r w:rsidRPr="00FE236F">
        <w:rPr>
          <w:rFonts w:ascii="inherit" w:eastAsia="Times New Roman" w:hAnsi="inherit" w:cs="Arial"/>
          <w:color w:val="555555"/>
          <w:sz w:val="27"/>
          <w:szCs w:val="27"/>
        </w:rPr>
        <w:t>21,  have</w:t>
      </w:r>
      <w:proofErr w:type="gramEnd"/>
      <w:r w:rsidRPr="00FE236F">
        <w:rPr>
          <w:rFonts w:ascii="inherit" w:eastAsia="Times New Roman" w:hAnsi="inherit" w:cs="Arial"/>
          <w:color w:val="555555"/>
          <w:sz w:val="27"/>
          <w:szCs w:val="27"/>
        </w:rPr>
        <w:t xml:space="preserve"> been presented by EASA e.g. at:</w:t>
      </w:r>
    </w:p>
    <w:tbl>
      <w:tblPr>
        <w:tblW w:w="10500" w:type="dxa"/>
        <w:tblBorders>
          <w:top w:val="single" w:sz="6" w:space="0" w:color="FAAD2D"/>
          <w:left w:val="single" w:sz="6" w:space="0" w:color="FAAD2D"/>
          <w:bottom w:val="single" w:sz="6" w:space="0" w:color="FAAD2D"/>
          <w:right w:val="single" w:sz="6" w:space="0" w:color="FAAD2D"/>
        </w:tblBorders>
        <w:shd w:val="clear" w:color="auto" w:fill="FFF7E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253"/>
        <w:gridCol w:w="1314"/>
        <w:gridCol w:w="9843"/>
        <w:gridCol w:w="1067"/>
      </w:tblGrid>
      <w:tr w:rsidR="00FE236F" w:rsidRPr="00FE236F" w14:paraId="64B4EE9E" w14:textId="77777777" w:rsidTr="00FE2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3B171043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Event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7ED7B393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34111B6B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Link to the video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0F55AC05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Remarks</w:t>
            </w:r>
          </w:p>
        </w:tc>
      </w:tr>
      <w:tr w:rsidR="00FE236F" w:rsidRPr="00FE236F" w14:paraId="1CFA3748" w14:textId="77777777" w:rsidTr="00FE2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0C330316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Product Certification and DOA workshop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1C0A14BF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22/11/2017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49CAAE3D" w14:textId="77777777" w:rsidR="00FE236F" w:rsidRPr="00FE236F" w:rsidRDefault="00AA4A1A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hyperlink r:id="rId6" w:tgtFrame="_blank" w:history="1"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  <w:u w:val="single"/>
                </w:rPr>
                <w:t>https://www.youtube.com/watch?v=K0D9aBJDEcI&amp;index=3&amp;list=PLTfS24aKkJn5BPBzeSpgI_</w:t>
              </w:r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</w:rPr>
                <w:br/>
              </w:r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  <w:u w:val="single"/>
                </w:rPr>
                <w:t>R0kGED_2n4-&amp;t=0s</w:t>
              </w:r>
            </w:hyperlink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7F8B459B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Contains also some practical examples  </w:t>
            </w:r>
          </w:p>
        </w:tc>
      </w:tr>
      <w:tr w:rsidR="00FE236F" w:rsidRPr="00FE236F" w14:paraId="415B37C8" w14:textId="77777777" w:rsidTr="00FE2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46279541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lastRenderedPageBreak/>
              <w:t>STC workshop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7795BF1E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04/05/2018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46D1E04D" w14:textId="77777777" w:rsidR="00FE236F" w:rsidRPr="00FE236F" w:rsidRDefault="00AA4A1A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hyperlink r:id="rId7" w:tgtFrame="_blank" w:history="1"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  <w:u w:val="single"/>
                </w:rPr>
                <w:t>https://www.youtube.com/watch?v=gQ6mGeJMITQ&amp;list=PLTfS24aKkJn4ZcYVNkREdl_niZme4vu</w:t>
              </w:r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</w:rPr>
                <w:br/>
              </w:r>
              <w:proofErr w:type="spellStart"/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  <w:u w:val="single"/>
                </w:rPr>
                <w:t>YZ&amp;index</w:t>
              </w:r>
              <w:proofErr w:type="spellEnd"/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  <w:u w:val="single"/>
                </w:rPr>
                <w:t>=8&amp;t=0s</w:t>
              </w:r>
            </w:hyperlink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vAlign w:val="center"/>
            <w:hideMark/>
          </w:tcPr>
          <w:p w14:paraId="7C96D44B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</w:tbl>
    <w:p w14:paraId="6377DB48" w14:textId="77777777" w:rsidR="00FE236F" w:rsidRPr="00FE236F" w:rsidRDefault="00FE236F" w:rsidP="00FE236F">
      <w:pPr>
        <w:spacing w:after="480"/>
        <w:rPr>
          <w:rFonts w:ascii="inherit" w:eastAsia="Times New Roman" w:hAnsi="inherit" w:cs="Arial"/>
          <w:color w:val="555555"/>
          <w:sz w:val="27"/>
          <w:szCs w:val="27"/>
        </w:rPr>
      </w:pPr>
      <w:r w:rsidRPr="00FE236F">
        <w:rPr>
          <w:rFonts w:ascii="inherit" w:eastAsia="Times New Roman" w:hAnsi="inherit" w:cs="Arial"/>
          <w:b/>
          <w:bCs/>
          <w:color w:val="555555"/>
          <w:sz w:val="27"/>
          <w:szCs w:val="27"/>
        </w:rPr>
        <w:t>The following material is currently available</w:t>
      </w:r>
    </w:p>
    <w:tbl>
      <w:tblPr>
        <w:tblW w:w="10500" w:type="dxa"/>
        <w:tblBorders>
          <w:top w:val="single" w:sz="6" w:space="0" w:color="FAAD2D"/>
          <w:left w:val="single" w:sz="6" w:space="0" w:color="FAAD2D"/>
          <w:bottom w:val="single" w:sz="6" w:space="0" w:color="FAAD2D"/>
          <w:right w:val="single" w:sz="6" w:space="0" w:color="FAAD2D"/>
        </w:tblBorders>
        <w:shd w:val="clear" w:color="auto" w:fill="FFF7E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675"/>
        <w:gridCol w:w="1306"/>
        <w:gridCol w:w="920"/>
        <w:gridCol w:w="4971"/>
        <w:gridCol w:w="1628"/>
      </w:tblGrid>
      <w:tr w:rsidR="00FE236F" w:rsidRPr="00FE236F" w14:paraId="27626612" w14:textId="77777777" w:rsidTr="00FE2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08243B04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Document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70F8C478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Publication date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12961C65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23CBF847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Link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63008E5D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Comment</w:t>
            </w:r>
          </w:p>
        </w:tc>
      </w:tr>
      <w:tr w:rsidR="00FE236F" w:rsidRPr="00FE236F" w14:paraId="66B25418" w14:textId="77777777" w:rsidTr="00FE236F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04F283AE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Regulation</w:t>
            </w:r>
          </w:p>
        </w:tc>
      </w:tr>
      <w:tr w:rsidR="00FE236F" w:rsidRPr="00FE236F" w14:paraId="016D31BF" w14:textId="77777777" w:rsidTr="00FE2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62510B29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Regulation (EU) 2019/897 (Amendment to Part 21)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5A261A0E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03/06/2019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02C27616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adopted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7938EC27" w14:textId="77777777" w:rsidR="00FE236F" w:rsidRPr="00FE236F" w:rsidRDefault="00AA4A1A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hyperlink r:id="rId8" w:history="1"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  <w:u w:val="single"/>
                </w:rPr>
                <w:t>https://www.easa.europa.eu/document-library/regulations/commission-delegated-regulation-eu-2019897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17C87CEC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Entry into force: 23/06/2019</w:t>
            </w:r>
            <w:r w:rsidRPr="00FE236F">
              <w:rPr>
                <w:rFonts w:ascii="Times New Roman" w:eastAsia="Times New Roman" w:hAnsi="Times New Roman" w:cs="Times New Roman"/>
                <w:color w:val="222222"/>
              </w:rPr>
              <w:br/>
              <w:t>Applicability for LOI, refer to below picture    </w:t>
            </w:r>
          </w:p>
        </w:tc>
      </w:tr>
      <w:tr w:rsidR="00FE236F" w:rsidRPr="00FE236F" w14:paraId="63B8B050" w14:textId="77777777" w:rsidTr="00FE236F"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551A0EDA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Guidance Material</w:t>
            </w:r>
          </w:p>
        </w:tc>
      </w:tr>
      <w:tr w:rsidR="00FE236F" w:rsidRPr="00FE236F" w14:paraId="6EA1A4AC" w14:textId="77777777" w:rsidTr="00FE2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3F50E0AD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AMC and GM to Part 21 – Issue 2, Amendment 9  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1CC8311B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29/08/2019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47108DA2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In force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61165BDD" w14:textId="77777777" w:rsidR="00FE236F" w:rsidRPr="00FE236F" w:rsidRDefault="00AA4A1A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hyperlink r:id="rId9" w:history="1"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  <w:u w:val="single"/>
                </w:rPr>
                <w:t>https://www.easa.europa.eu/document-library/acceptable-means-of-compliance-and-guidance-materials/amc-and-gm-part-21-%E2%80%94-issue-2-amendment-9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31CF0939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  <w:tr w:rsidR="00FE236F" w:rsidRPr="00FE236F" w14:paraId="3F76643F" w14:textId="77777777" w:rsidTr="00FE2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4A3759F0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CM-</w:t>
            </w:r>
            <w:proofErr w:type="gramStart"/>
            <w:r w:rsidRPr="00FE236F">
              <w:rPr>
                <w:rFonts w:ascii="Times New Roman" w:eastAsia="Times New Roman" w:hAnsi="Times New Roman" w:cs="Times New Roman"/>
                <w:color w:val="222222"/>
              </w:rPr>
              <w:t>21.A</w:t>
            </w:r>
            <w:proofErr w:type="gramEnd"/>
            <w:r w:rsidRPr="00FE236F">
              <w:rPr>
                <w:rFonts w:ascii="Times New Roman" w:eastAsia="Times New Roman" w:hAnsi="Times New Roman" w:cs="Times New Roman"/>
                <w:color w:val="222222"/>
              </w:rPr>
              <w:t>/21.B-001 issue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488224FA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20/09/2019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43D16E07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Issue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5476C8E6" w14:textId="77777777" w:rsidR="00FE236F" w:rsidRPr="00FE236F" w:rsidRDefault="00AA4A1A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hyperlink r:id="rId10" w:history="1"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  <w:u w:val="single"/>
                </w:rPr>
                <w:t>https://www.easa.europa.eu/document-library/product-certification-consultations/cm-21a21b-001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6C060EE5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 </w:t>
            </w:r>
          </w:p>
        </w:tc>
      </w:tr>
    </w:tbl>
    <w:p w14:paraId="3BF0A4DF" w14:textId="77777777" w:rsidR="00FE236F" w:rsidRPr="00FE236F" w:rsidRDefault="00FE236F" w:rsidP="00FE236F">
      <w:pPr>
        <w:spacing w:after="480"/>
        <w:rPr>
          <w:rFonts w:ascii="inherit" w:eastAsia="Times New Roman" w:hAnsi="inherit" w:cs="Arial"/>
          <w:color w:val="555555"/>
          <w:sz w:val="27"/>
          <w:szCs w:val="27"/>
        </w:rPr>
      </w:pPr>
      <w:r w:rsidRPr="00FE236F">
        <w:rPr>
          <w:rFonts w:ascii="inherit" w:eastAsia="Times New Roman" w:hAnsi="inherit" w:cs="Arial"/>
          <w:b/>
          <w:bCs/>
          <w:color w:val="555555"/>
          <w:sz w:val="27"/>
          <w:szCs w:val="27"/>
        </w:rPr>
        <w:t>Applicability - when does the new LOI become mandatory?</w:t>
      </w:r>
    </w:p>
    <w:p w14:paraId="19F1CCA4" w14:textId="16D26122" w:rsidR="00FE236F" w:rsidRPr="00FE236F" w:rsidRDefault="00FE236F" w:rsidP="00FE236F">
      <w:pPr>
        <w:spacing w:after="480"/>
        <w:rPr>
          <w:rFonts w:ascii="inherit" w:eastAsia="Times New Roman" w:hAnsi="inherit" w:cs="Arial"/>
          <w:color w:val="555555"/>
          <w:sz w:val="27"/>
          <w:szCs w:val="27"/>
        </w:rPr>
      </w:pPr>
      <w:r w:rsidRPr="00FE236F">
        <w:rPr>
          <w:rFonts w:ascii="inherit" w:eastAsia="Times New Roman" w:hAnsi="inherit" w:cs="Arial"/>
          <w:color w:val="555555"/>
          <w:sz w:val="27"/>
          <w:szCs w:val="27"/>
        </w:rPr>
        <w:fldChar w:fldCharType="begin"/>
      </w:r>
      <w:r w:rsidRPr="00FE236F">
        <w:rPr>
          <w:rFonts w:ascii="inherit" w:eastAsia="Times New Roman" w:hAnsi="inherit" w:cs="Arial"/>
          <w:color w:val="555555"/>
          <w:sz w:val="27"/>
          <w:szCs w:val="27"/>
        </w:rPr>
        <w:instrText xml:space="preserve"> INCLUDEPICTURE "/var/folders/nj/m875g2tj2j50hjqpdb11s_540000gn/T/com.microsoft.Word/WebArchiveCopyPasteTempFiles/loi_0.PNG" \* MERGEFORMATINET </w:instrText>
      </w:r>
      <w:r w:rsidRPr="00FE236F">
        <w:rPr>
          <w:rFonts w:ascii="inherit" w:eastAsia="Times New Roman" w:hAnsi="inherit" w:cs="Arial"/>
          <w:color w:val="555555"/>
          <w:sz w:val="27"/>
          <w:szCs w:val="27"/>
        </w:rPr>
        <w:fldChar w:fldCharType="separate"/>
      </w:r>
      <w:r w:rsidRPr="00FE236F">
        <w:rPr>
          <w:rFonts w:ascii="inherit" w:eastAsia="Times New Roman" w:hAnsi="inherit" w:cs="Arial"/>
          <w:noProof/>
          <w:color w:val="555555"/>
          <w:sz w:val="27"/>
          <w:szCs w:val="27"/>
        </w:rPr>
        <w:drawing>
          <wp:inline distT="0" distB="0" distL="0" distR="0" wp14:anchorId="058C92A0" wp14:editId="6DB3690F">
            <wp:extent cx="5943600" cy="2807970"/>
            <wp:effectExtent l="0" t="0" r="0" b="0"/>
            <wp:docPr id="1" name="Picture 1" descr="/var/folders/nj/m875g2tj2j50hjqpdb11s_540000gn/T/com.microsoft.Word/WebArchiveCopyPasteTempFiles/loi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loi_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236F">
        <w:rPr>
          <w:rFonts w:ascii="inherit" w:eastAsia="Times New Roman" w:hAnsi="inherit" w:cs="Arial"/>
          <w:color w:val="555555"/>
          <w:sz w:val="27"/>
          <w:szCs w:val="27"/>
        </w:rPr>
        <w:fldChar w:fldCharType="end"/>
      </w:r>
    </w:p>
    <w:p w14:paraId="6C4469F2" w14:textId="77777777" w:rsidR="00FE236F" w:rsidRPr="00FE236F" w:rsidRDefault="00FE236F" w:rsidP="00FE236F">
      <w:pPr>
        <w:spacing w:after="480"/>
        <w:rPr>
          <w:rFonts w:ascii="inherit" w:eastAsia="Times New Roman" w:hAnsi="inherit" w:cs="Arial"/>
          <w:color w:val="555555"/>
          <w:sz w:val="27"/>
          <w:szCs w:val="27"/>
        </w:rPr>
      </w:pPr>
      <w:r w:rsidRPr="00FE236F">
        <w:rPr>
          <w:rFonts w:ascii="inherit" w:eastAsia="Times New Roman" w:hAnsi="inherit" w:cs="Arial"/>
          <w:b/>
          <w:bCs/>
          <w:color w:val="555555"/>
          <w:sz w:val="27"/>
          <w:szCs w:val="27"/>
        </w:rPr>
        <w:t>More information and training</w:t>
      </w:r>
      <w:r w:rsidRPr="00FE236F">
        <w:rPr>
          <w:rFonts w:ascii="inherit" w:eastAsia="Times New Roman" w:hAnsi="inherit" w:cs="Arial"/>
          <w:color w:val="555555"/>
          <w:sz w:val="27"/>
          <w:szCs w:val="27"/>
        </w:rPr>
        <w:br/>
        <w:t xml:space="preserve">As the new amendment of Part 21 incorporates a significant number of changes, </w:t>
      </w:r>
      <w:r w:rsidRPr="00FE236F">
        <w:rPr>
          <w:rFonts w:ascii="inherit" w:eastAsia="Times New Roman" w:hAnsi="inherit" w:cs="Arial"/>
          <w:color w:val="555555"/>
          <w:sz w:val="27"/>
          <w:szCs w:val="27"/>
        </w:rPr>
        <w:lastRenderedPageBreak/>
        <w:t xml:space="preserve">EASA will </w:t>
      </w:r>
      <w:proofErr w:type="spellStart"/>
      <w:r w:rsidRPr="00FE236F">
        <w:rPr>
          <w:rFonts w:ascii="inherit" w:eastAsia="Times New Roman" w:hAnsi="inherit" w:cs="Arial"/>
          <w:color w:val="555555"/>
          <w:sz w:val="27"/>
          <w:szCs w:val="27"/>
        </w:rPr>
        <w:t>organise</w:t>
      </w:r>
      <w:proofErr w:type="spellEnd"/>
      <w:r w:rsidRPr="00FE236F">
        <w:rPr>
          <w:rFonts w:ascii="inherit" w:eastAsia="Times New Roman" w:hAnsi="inherit" w:cs="Arial"/>
          <w:color w:val="555555"/>
          <w:sz w:val="27"/>
          <w:szCs w:val="27"/>
        </w:rPr>
        <w:t xml:space="preserve"> 5 events to explain to interested stakeholders the amendments to Part 21 in order to ensure a smooth implementation. </w:t>
      </w:r>
    </w:p>
    <w:p w14:paraId="17A155DD" w14:textId="77777777" w:rsidR="00FE236F" w:rsidRPr="00FE236F" w:rsidRDefault="00FE236F" w:rsidP="00FE236F">
      <w:pPr>
        <w:spacing w:after="480"/>
        <w:rPr>
          <w:rFonts w:ascii="inherit" w:eastAsia="Times New Roman" w:hAnsi="inherit" w:cs="Arial"/>
          <w:color w:val="555555"/>
          <w:sz w:val="27"/>
          <w:szCs w:val="27"/>
        </w:rPr>
      </w:pPr>
      <w:r w:rsidRPr="00FE236F">
        <w:rPr>
          <w:rFonts w:ascii="inherit" w:eastAsia="Times New Roman" w:hAnsi="inherit" w:cs="Arial"/>
          <w:color w:val="555555"/>
          <w:sz w:val="27"/>
          <w:szCs w:val="27"/>
        </w:rPr>
        <w:t xml:space="preserve">During these events, EASA will explain the amended rules and the expected impacts to design </w:t>
      </w:r>
      <w:proofErr w:type="spellStart"/>
      <w:r w:rsidRPr="00FE236F">
        <w:rPr>
          <w:rFonts w:ascii="inherit" w:eastAsia="Times New Roman" w:hAnsi="inherit" w:cs="Arial"/>
          <w:color w:val="555555"/>
          <w:sz w:val="27"/>
          <w:szCs w:val="27"/>
        </w:rPr>
        <w:t>organisations</w:t>
      </w:r>
      <w:proofErr w:type="spellEnd"/>
      <w:r w:rsidRPr="00FE236F">
        <w:rPr>
          <w:rFonts w:ascii="inherit" w:eastAsia="Times New Roman" w:hAnsi="inherit" w:cs="Arial"/>
          <w:color w:val="555555"/>
          <w:sz w:val="27"/>
          <w:szCs w:val="27"/>
        </w:rPr>
        <w:t>, including the new LOI concept. EASA will also describe acceptable means to comply with the new requirements. </w:t>
      </w:r>
    </w:p>
    <w:p w14:paraId="2367B6F5" w14:textId="77777777" w:rsidR="00FE236F" w:rsidRPr="00FE236F" w:rsidRDefault="00FE236F" w:rsidP="00FE236F">
      <w:pPr>
        <w:spacing w:after="480"/>
        <w:rPr>
          <w:rFonts w:ascii="inherit" w:eastAsia="Times New Roman" w:hAnsi="inherit" w:cs="Arial"/>
          <w:color w:val="555555"/>
          <w:sz w:val="27"/>
          <w:szCs w:val="27"/>
        </w:rPr>
      </w:pPr>
      <w:r w:rsidRPr="00FE236F">
        <w:rPr>
          <w:rFonts w:ascii="inherit" w:eastAsia="Times New Roman" w:hAnsi="inherit" w:cs="Arial"/>
          <w:color w:val="555555"/>
          <w:sz w:val="27"/>
          <w:szCs w:val="27"/>
        </w:rPr>
        <w:t>List of scheduled events:</w:t>
      </w:r>
    </w:p>
    <w:tbl>
      <w:tblPr>
        <w:tblW w:w="10500" w:type="dxa"/>
        <w:tblBorders>
          <w:top w:val="single" w:sz="6" w:space="0" w:color="FAAD2D"/>
          <w:left w:val="single" w:sz="6" w:space="0" w:color="FAAD2D"/>
          <w:bottom w:val="single" w:sz="6" w:space="0" w:color="FAAD2D"/>
          <w:right w:val="single" w:sz="6" w:space="0" w:color="FAAD2D"/>
        </w:tblBorders>
        <w:shd w:val="clear" w:color="auto" w:fill="FFF7E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596"/>
        <w:gridCol w:w="2058"/>
        <w:gridCol w:w="6846"/>
      </w:tblGrid>
      <w:tr w:rsidR="00FE236F" w:rsidRPr="00FE236F" w14:paraId="35F8D190" w14:textId="77777777" w:rsidTr="00FE2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5CE2AD45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Location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7F1E08DA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3E469CC4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Link for enrolment</w:t>
            </w:r>
          </w:p>
        </w:tc>
      </w:tr>
      <w:tr w:rsidR="00FE236F" w:rsidRPr="00FE236F" w14:paraId="4833FDBD" w14:textId="77777777" w:rsidTr="00FE2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258C4A4B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Rome - Italy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120AF5F1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25 - 26/06/2019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4989D818" w14:textId="77777777" w:rsidR="00FE236F" w:rsidRPr="00FE236F" w:rsidRDefault="00AA4A1A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hyperlink r:id="rId12" w:history="1"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  <w:u w:val="single"/>
                </w:rPr>
                <w:t>https://www.easa.europa.eu/newsroom-and-events/events/new-part-21-amendment-what-changing-me-rome</w:t>
              </w:r>
            </w:hyperlink>
          </w:p>
        </w:tc>
      </w:tr>
      <w:tr w:rsidR="00FE236F" w:rsidRPr="00FE236F" w14:paraId="184DB4E9" w14:textId="77777777" w:rsidTr="00FE2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0D9A2084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Prague - Czech Republic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6CDE2E29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03 - 04/09/2019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229DBC4E" w14:textId="77777777" w:rsidR="00FE236F" w:rsidRPr="00FE236F" w:rsidRDefault="00AA4A1A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hyperlink r:id="rId13" w:history="1"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  <w:u w:val="single"/>
                </w:rPr>
                <w:t>https://www.easa.europa.eu/newsroom-and-events/events/new-part-21-amendment-what-changing-me-prague</w:t>
              </w:r>
            </w:hyperlink>
          </w:p>
        </w:tc>
      </w:tr>
      <w:tr w:rsidR="00FE236F" w:rsidRPr="00FE236F" w14:paraId="5E399C79" w14:textId="77777777" w:rsidTr="00FE2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78220770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Cologne - Germany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4C8447C0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18 - 19/09/2019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09C17888" w14:textId="77777777" w:rsidR="00FE236F" w:rsidRPr="00FE236F" w:rsidRDefault="00AA4A1A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hyperlink r:id="rId14" w:history="1"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  <w:u w:val="single"/>
                </w:rPr>
                <w:t>https://www.easa.europa.eu/newsroom-and-events/events/new-part-21-amendment-what-changing-me-cologne</w:t>
              </w:r>
            </w:hyperlink>
          </w:p>
        </w:tc>
      </w:tr>
      <w:tr w:rsidR="00FE236F" w:rsidRPr="00FE236F" w14:paraId="53A12378" w14:textId="77777777" w:rsidTr="00FE2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6334A818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Toulouse - 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76218E43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30 - 31/10/2019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7EA"/>
            <w:hideMark/>
          </w:tcPr>
          <w:p w14:paraId="005B8F9D" w14:textId="77777777" w:rsidR="00FE236F" w:rsidRPr="00FE236F" w:rsidRDefault="00AA4A1A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hyperlink r:id="rId15" w:history="1">
              <w:r w:rsidR="00FE236F" w:rsidRPr="00FE236F">
                <w:rPr>
                  <w:rFonts w:ascii="Times New Roman" w:eastAsia="Times New Roman" w:hAnsi="Times New Roman" w:cs="Times New Roman"/>
                  <w:color w:val="1C5893"/>
                  <w:u w:val="single"/>
                </w:rPr>
                <w:t>https://www.easa.europa.eu/newsroom-and-events/events/new-part-21-amendment-what-changing-me-toulouse </w:t>
              </w:r>
            </w:hyperlink>
          </w:p>
        </w:tc>
      </w:tr>
      <w:tr w:rsidR="00FE236F" w:rsidRPr="00FE236F" w14:paraId="36B8DB36" w14:textId="77777777" w:rsidTr="00FE236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67DA9D97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Derby - United Kingdom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48DCA0C4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2020 (exact date to be confirmed)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EFD5"/>
            <w:hideMark/>
          </w:tcPr>
          <w:p w14:paraId="53106328" w14:textId="77777777" w:rsidR="00FE236F" w:rsidRPr="00FE236F" w:rsidRDefault="00FE236F" w:rsidP="00FE236F">
            <w:pPr>
              <w:rPr>
                <w:rFonts w:ascii="Times New Roman" w:eastAsia="Times New Roman" w:hAnsi="Times New Roman" w:cs="Times New Roman"/>
                <w:color w:val="222222"/>
              </w:rPr>
            </w:pPr>
            <w:r w:rsidRPr="00FE236F">
              <w:rPr>
                <w:rFonts w:ascii="Times New Roman" w:eastAsia="Times New Roman" w:hAnsi="Times New Roman" w:cs="Times New Roman"/>
                <w:color w:val="222222"/>
              </w:rPr>
              <w:t>to be confirmed</w:t>
            </w:r>
          </w:p>
        </w:tc>
      </w:tr>
    </w:tbl>
    <w:p w14:paraId="6CBE6CBF" w14:textId="77777777" w:rsidR="00FE236F" w:rsidRPr="00FE236F" w:rsidRDefault="00FE236F" w:rsidP="00FE236F">
      <w:pPr>
        <w:rPr>
          <w:rFonts w:ascii="Times New Roman" w:eastAsia="Times New Roman" w:hAnsi="Times New Roman" w:cs="Times New Roman"/>
        </w:rPr>
      </w:pPr>
    </w:p>
    <w:p w14:paraId="2F34A7E8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FA"/>
    <w:rsid w:val="00453EED"/>
    <w:rsid w:val="00AA4A1A"/>
    <w:rsid w:val="00B3334C"/>
    <w:rsid w:val="00BE080D"/>
    <w:rsid w:val="00DF1DFA"/>
    <w:rsid w:val="00E07AC0"/>
    <w:rsid w:val="00FE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3B578"/>
  <w14:defaultImageDpi w14:val="32767"/>
  <w15:chartTrackingRefBased/>
  <w15:docId w15:val="{D525423F-4755-2542-8911-04FFDE00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36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3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E23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236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E236F"/>
  </w:style>
  <w:style w:type="character" w:styleId="Strong">
    <w:name w:val="Strong"/>
    <w:basedOn w:val="DefaultParagraphFont"/>
    <w:uiPriority w:val="22"/>
    <w:qFormat/>
    <w:rsid w:val="00FE23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568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  <w:div w:id="21469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a.europa.eu/document-library/regulations/commission-delegated-regulation-eu-2019897" TargetMode="External"/><Relationship Id="rId13" Type="http://schemas.openxmlformats.org/officeDocument/2006/relationships/hyperlink" Target="https://www.easa.europa.eu/newsroom-and-events/events/new-part-21-amendment-what-changing-me-prag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Q6mGeJMITQ&amp;list=PLTfS24aKkJn4ZcYVNkREdl_niZme4vuYZ&amp;index=8&amp;t=0s" TargetMode="External"/><Relationship Id="rId12" Type="http://schemas.openxmlformats.org/officeDocument/2006/relationships/hyperlink" Target="https://www.easa.europa.eu/newsroom-and-events/events/new-part-21-amendment-what-changing-me-rom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0D9aBJDEcI&amp;index=3&amp;list=PLTfS24aKkJn5BPBzeSpgI_R0kGED_2n4-&amp;t=0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easa.europa.eu/document-library/regulations/commission-delegated-regulation-eu-2019897" TargetMode="External"/><Relationship Id="rId15" Type="http://schemas.openxmlformats.org/officeDocument/2006/relationships/hyperlink" Target="https://www.easa.europa.eu/newsroom-and-events/events/new-part-21-amendment-what-changing-me-toulouse" TargetMode="External"/><Relationship Id="rId10" Type="http://schemas.openxmlformats.org/officeDocument/2006/relationships/hyperlink" Target="https://www.easa.europa.eu/document-library/product-certification-consultations/cm-21a21b-001" TargetMode="External"/><Relationship Id="rId4" Type="http://schemas.openxmlformats.org/officeDocument/2006/relationships/hyperlink" Target="https://www.easa.europa.eu/newsroom-and-events/news/new-easa-approach-definition-level-involvement-loi" TargetMode="External"/><Relationship Id="rId9" Type="http://schemas.openxmlformats.org/officeDocument/2006/relationships/hyperlink" Target="https://www.easa.europa.eu/document-library/acceptable-means-of-compliance-and-guidance-materials/amc-and-gm-part-21-%E2%80%94-issue-2-amendment-9" TargetMode="External"/><Relationship Id="rId14" Type="http://schemas.openxmlformats.org/officeDocument/2006/relationships/hyperlink" Target="https://www.easa.europa.eu/newsroom-and-events/events/new-part-21-amendment-what-changing-me-colog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5</cp:revision>
  <dcterms:created xsi:type="dcterms:W3CDTF">2020-02-14T12:20:00Z</dcterms:created>
  <dcterms:modified xsi:type="dcterms:W3CDTF">2020-04-12T13:50:00Z</dcterms:modified>
</cp:coreProperties>
</file>