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6794E" w14:textId="77777777" w:rsidR="00B26C2B" w:rsidRDefault="00B26C2B" w:rsidP="00B26C2B">
      <w:r>
        <w:t>Easy Access Rules for Aerodromes updated</w:t>
      </w:r>
    </w:p>
    <w:p w14:paraId="51D89FEB" w14:textId="77777777" w:rsidR="00B26C2B" w:rsidRDefault="00B26C2B" w:rsidP="00B26C2B">
      <w:r>
        <w:t>Related Content</w:t>
      </w:r>
    </w:p>
    <w:p w14:paraId="7E7BDA80" w14:textId="77777777" w:rsidR="00B26C2B" w:rsidRDefault="00B26C2B" w:rsidP="00B26C2B"/>
    <w:p w14:paraId="707A626C" w14:textId="77777777" w:rsidR="00B26C2B" w:rsidRDefault="00B26C2B" w:rsidP="00B26C2B"/>
    <w:p w14:paraId="221EC83D" w14:textId="77777777" w:rsidR="00B26C2B" w:rsidRDefault="00B26C2B" w:rsidP="00B26C2B">
      <w:r w:rsidRPr="00EB681E">
        <w:rPr>
          <w:highlight w:val="yellow"/>
        </w:rPr>
        <w:t>EASA has updated the Easy Access Rules for Aerodromes, incorporating the amending Regulation (EU) 2018/401 affecting Annex I, as well as the ED Decision 2019/012/R.</w:t>
      </w:r>
    </w:p>
    <w:p w14:paraId="11F4A182" w14:textId="77777777" w:rsidR="00B26C2B" w:rsidRDefault="00B26C2B" w:rsidP="00B26C2B"/>
    <w:p w14:paraId="70E4A76E" w14:textId="77777777" w:rsidR="00B26C2B" w:rsidRPr="00EB681E" w:rsidRDefault="00B26C2B" w:rsidP="00B26C2B">
      <w:pPr>
        <w:rPr>
          <w:highlight w:val="yellow"/>
        </w:rPr>
      </w:pPr>
      <w:r w:rsidRPr="00EB681E">
        <w:rPr>
          <w:highlight w:val="yellow"/>
        </w:rPr>
        <w:t>This publication includes the current applicable Implementing Rules (IRs), Acceptable Means of Compliance (AMC), Certifications Specifications (CS) and Guidance Material (GM) displayed in a consolidated, easy-to-read format, and offers advanced navigation features through links and bookmarks.</w:t>
      </w:r>
    </w:p>
    <w:p w14:paraId="0EF81170" w14:textId="77777777" w:rsidR="00B26C2B" w:rsidRPr="00EB681E" w:rsidRDefault="00B26C2B" w:rsidP="00B26C2B">
      <w:pPr>
        <w:rPr>
          <w:highlight w:val="yellow"/>
        </w:rPr>
      </w:pPr>
      <w:bookmarkStart w:id="0" w:name="_GoBack"/>
      <w:bookmarkEnd w:id="0"/>
    </w:p>
    <w:p w14:paraId="5DC1AD82" w14:textId="77777777" w:rsidR="00B26C2B" w:rsidRPr="00EB681E" w:rsidRDefault="00B26C2B" w:rsidP="00B26C2B">
      <w:pPr>
        <w:rPr>
          <w:highlight w:val="yellow"/>
        </w:rPr>
      </w:pPr>
      <w:r w:rsidRPr="00EB681E">
        <w:rPr>
          <w:highlight w:val="yellow"/>
        </w:rPr>
        <w:t xml:space="preserve">It covers all annexes of Regulation (EU) No 139/2014, i.e. Annex I ‘Definitions’, Annex II ‘Part Authority Requirements – Aerodromes’ (Part-ADR.AR), Annex III ‘Part </w:t>
      </w:r>
      <w:proofErr w:type="spellStart"/>
      <w:r w:rsidRPr="00EB681E">
        <w:rPr>
          <w:highlight w:val="yellow"/>
        </w:rPr>
        <w:t>Organisation</w:t>
      </w:r>
      <w:proofErr w:type="spellEnd"/>
      <w:r w:rsidRPr="00EB681E">
        <w:rPr>
          <w:highlight w:val="yellow"/>
        </w:rPr>
        <w:t xml:space="preserve"> Requirements – Aerodrome Operators’ (Part-ADR.OR), Annex IV ‘Part Operations Requirements – Aerodromes’ (Part-ADR.OPS), AMC and GM (Amendment 2), as well as CS and GM for Aerodromes Design (CS-ADR-DSN Issue 4)) and CS and GM for Heliports Design (CS-HPT-DSN Issue 1).</w:t>
      </w:r>
    </w:p>
    <w:p w14:paraId="6A2A3A6D" w14:textId="77777777" w:rsidR="00B26C2B" w:rsidRPr="00EB681E" w:rsidRDefault="00B26C2B" w:rsidP="00B26C2B">
      <w:pPr>
        <w:rPr>
          <w:highlight w:val="yellow"/>
        </w:rPr>
      </w:pPr>
    </w:p>
    <w:p w14:paraId="0E54861D" w14:textId="71105E82" w:rsidR="00BE080D" w:rsidRDefault="00B26C2B" w:rsidP="00B26C2B">
      <w:r w:rsidRPr="00EB681E">
        <w:rPr>
          <w:highlight w:val="yellow"/>
        </w:rPr>
        <w:t xml:space="preserve">As a novelty, the Annex to the ED Decision 2019/012/R for the design of surface-level VFR heliports located at aerodromes that fall under the scope of Regulation (EU) 2018/1139, has also been generated through the </w:t>
      </w:r>
      <w:proofErr w:type="spellStart"/>
      <w:r w:rsidRPr="00EB681E">
        <w:rPr>
          <w:highlight w:val="yellow"/>
        </w:rPr>
        <w:t>eRules</w:t>
      </w:r>
      <w:proofErr w:type="spellEnd"/>
      <w:r w:rsidRPr="00EB681E">
        <w:rPr>
          <w:highlight w:val="yellow"/>
        </w:rPr>
        <w:t xml:space="preserve"> platform.</w:t>
      </w:r>
    </w:p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2D0"/>
    <w:rsid w:val="00453EED"/>
    <w:rsid w:val="008F32D0"/>
    <w:rsid w:val="00B26C2B"/>
    <w:rsid w:val="00BE080D"/>
    <w:rsid w:val="00EB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9C10DF"/>
  <w14:defaultImageDpi w14:val="32767"/>
  <w15:chartTrackingRefBased/>
  <w15:docId w15:val="{9F59C0F5-9938-BA40-AC17-E4557E98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8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35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34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  <w:div w:id="1170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73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3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61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80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6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5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2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1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2020-02-14T13:02:00Z</dcterms:created>
  <dcterms:modified xsi:type="dcterms:W3CDTF">2020-04-01T14:02:00Z</dcterms:modified>
</cp:coreProperties>
</file>