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F1B9" w14:textId="77777777" w:rsidR="00123DC6" w:rsidRPr="004D0EDA" w:rsidRDefault="00123DC6" w:rsidP="00123DC6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</w:pPr>
      <w:r w:rsidRPr="004D0EDA"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  <w:t>More than half a million asylum applications lodged in the EU+ so far in 2019</w:t>
      </w:r>
    </w:p>
    <w:p w14:paraId="0AC8424B" w14:textId="77777777" w:rsidR="00123DC6" w:rsidRPr="004D0EDA" w:rsidRDefault="00123DC6" w:rsidP="00123DC6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</w:pPr>
      <w:r w:rsidRPr="004D0EDA"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  <w:t xml:space="preserve"> 19TH NOVEMBER 2019 </w:t>
      </w:r>
    </w:p>
    <w:p w14:paraId="3FA3E2EE" w14:textId="12C10A1C" w:rsidR="00123DC6" w:rsidRPr="004D0EDA" w:rsidRDefault="00123DC6" w:rsidP="00123DC6">
      <w:pPr>
        <w:rPr>
          <w:rFonts w:ascii="Times New Roman" w:eastAsia="Times New Roman" w:hAnsi="Times New Roman" w:cs="Times New Roman"/>
          <w:highlight w:val="darkGray"/>
        </w:rPr>
      </w:pPr>
      <w:r w:rsidRPr="004D0EDA">
        <w:rPr>
          <w:rFonts w:ascii="Times New Roman" w:eastAsia="Times New Roman" w:hAnsi="Times New Roman" w:cs="Times New Roman"/>
          <w:highlight w:val="darkGray"/>
        </w:rPr>
        <w:fldChar w:fldCharType="begin"/>
      </w:r>
      <w:r w:rsidRPr="004D0EDA">
        <w:rPr>
          <w:rFonts w:ascii="Times New Roman" w:eastAsia="Times New Roman" w:hAnsi="Times New Roman" w:cs="Times New Roman"/>
          <w:highlight w:val="darkGray"/>
        </w:rPr>
        <w:instrText xml:space="preserve"> INCLUDEPICTURE "/var/folders/nj/m875g2tj2j50hjqpdb11s_540000gn/T/com.microsoft.Word/WebArchiveCopyPasteTempFiles/lat-sep19-pr.PNG?itok=eJfQulBO);" \* MERGEFORMATINET </w:instrText>
      </w:r>
      <w:r w:rsidRPr="004D0EDA">
        <w:rPr>
          <w:rFonts w:ascii="Times New Roman" w:eastAsia="Times New Roman" w:hAnsi="Times New Roman" w:cs="Times New Roman"/>
          <w:highlight w:val="darkGray"/>
        </w:rPr>
        <w:fldChar w:fldCharType="separate"/>
      </w:r>
      <w:r w:rsidRPr="004D0EDA">
        <w:rPr>
          <w:rFonts w:ascii="Times New Roman" w:eastAsia="Times New Roman" w:hAnsi="Times New Roman" w:cs="Times New Roman"/>
          <w:noProof/>
          <w:highlight w:val="darkGray"/>
        </w:rPr>
        <w:drawing>
          <wp:inline distT="0" distB="0" distL="0" distR="0" wp14:anchorId="6107A5A7" wp14:editId="4CEBF273">
            <wp:extent cx="5943600" cy="1585595"/>
            <wp:effectExtent l="0" t="0" r="0" b="1905"/>
            <wp:docPr id="1" name="Picture 1" descr="/var/folders/nj/m875g2tj2j50hjqpdb11s_540000gn/T/com.microsoft.Word/WebArchiveCopyPasteTempFiles/lat-sep19-pr.PNG?itok=eJfQulBO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at-sep19-pr.PNG?itok=eJfQulBO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EDA">
        <w:rPr>
          <w:rFonts w:ascii="Times New Roman" w:eastAsia="Times New Roman" w:hAnsi="Times New Roman" w:cs="Times New Roman"/>
          <w:highlight w:val="darkGray"/>
        </w:rPr>
        <w:fldChar w:fldCharType="end"/>
      </w:r>
    </w:p>
    <w:p w14:paraId="0D459A55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>Per capita applications indicate high pressure on smaller EU+ countries.</w:t>
      </w:r>
    </w:p>
    <w:p w14:paraId="423E6880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More than half a million (515 825) asylum applications have been lodged in the EU+ during the first nine months of 2019</w:t>
      </w:r>
      <w:r w:rsidRPr="004D0EDA">
        <w:rPr>
          <w:rFonts w:ascii="Arial" w:eastAsia="Times New Roman" w:hAnsi="Arial" w:cs="Arial"/>
          <w:color w:val="505050"/>
          <w:highlight w:val="darkGray"/>
        </w:rPr>
        <w:t>, up by 10% compared to the same period a year ago.</w:t>
      </w:r>
    </w:p>
    <w:p w14:paraId="6F3BC420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color w:val="505050"/>
          <w:highlight w:val="darkGray"/>
        </w:rPr>
        <w:t>The proportion of applications receiving a positive decision (known as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"recognition rate"</w:t>
      </w:r>
      <w:r w:rsidRPr="004D0EDA">
        <w:rPr>
          <w:rFonts w:ascii="Arial" w:eastAsia="Times New Roman" w:hAnsi="Arial" w:cs="Arial"/>
          <w:color w:val="505050"/>
          <w:highlight w:val="darkGray"/>
        </w:rPr>
        <w:t>) so far this year was 34%, compared to 33% in the first nine months of 2018.</w:t>
      </w:r>
    </w:p>
    <w:p w14:paraId="62DFE05B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color w:val="505050"/>
          <w:highlight w:val="darkGray"/>
        </w:rPr>
        <w:t>Most applications were lodged by nationals of Syria, Afghanistan and Venezuela. These three citizenships continued to account for a quarter of all asylum applications in the EU+. For the sixth consecutive month, Afghan applications outnumbered Venezuelan, and peaked in September, when more applications were lodged (&gt; 5 600) than in any month since December 2016.</w:t>
      </w:r>
    </w:p>
    <w:p w14:paraId="41AEF014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color w:val="505050"/>
          <w:highlight w:val="darkGray"/>
        </w:rPr>
        <w:t xml:space="preserve">Data suggest that, so far in 2019, EU+ countries </w:t>
      </w:r>
      <w:proofErr w:type="spellStart"/>
      <w:r w:rsidRPr="004D0EDA">
        <w:rPr>
          <w:rFonts w:ascii="Arial" w:eastAsia="Times New Roman" w:hAnsi="Arial" w:cs="Arial"/>
          <w:color w:val="505050"/>
          <w:highlight w:val="darkGray"/>
        </w:rPr>
        <w:t>characterised</w:t>
      </w:r>
      <w:proofErr w:type="spellEnd"/>
      <w:r w:rsidRPr="004D0EDA">
        <w:rPr>
          <w:rFonts w:ascii="Arial" w:eastAsia="Times New Roman" w:hAnsi="Arial" w:cs="Arial"/>
          <w:color w:val="505050"/>
          <w:highlight w:val="darkGray"/>
        </w:rPr>
        <w:t xml:space="preserve"> by lower population size were under particularly high pressure. For example, in July the most applications per capita (relative to the countries’ population size) were lodged in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Cyprus</w:t>
      </w:r>
      <w:r w:rsidRPr="004D0EDA">
        <w:rPr>
          <w:rFonts w:ascii="Arial" w:eastAsia="Times New Roman" w:hAnsi="Arial" w:cs="Arial"/>
          <w:color w:val="505050"/>
          <w:highlight w:val="darkGray"/>
        </w:rPr>
        <w:t> and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Malta</w:t>
      </w:r>
      <w:r w:rsidRPr="004D0EDA">
        <w:rPr>
          <w:rFonts w:ascii="Arial" w:eastAsia="Times New Roman" w:hAnsi="Arial" w:cs="Arial"/>
          <w:color w:val="505050"/>
          <w:highlight w:val="darkGray"/>
        </w:rPr>
        <w:t>, followed by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Greece</w:t>
      </w:r>
      <w:r w:rsidRPr="004D0EDA">
        <w:rPr>
          <w:rFonts w:ascii="Arial" w:eastAsia="Times New Roman" w:hAnsi="Arial" w:cs="Arial"/>
          <w:color w:val="505050"/>
          <w:highlight w:val="darkGray"/>
        </w:rPr>
        <w:t>,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Sweden</w:t>
      </w:r>
      <w:r w:rsidRPr="004D0EDA">
        <w:rPr>
          <w:rFonts w:ascii="Arial" w:eastAsia="Times New Roman" w:hAnsi="Arial" w:cs="Arial"/>
          <w:color w:val="505050"/>
          <w:highlight w:val="darkGray"/>
        </w:rPr>
        <w:t> and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Luxembourg</w:t>
      </w:r>
      <w:r w:rsidRPr="004D0EDA">
        <w:rPr>
          <w:rFonts w:ascii="Arial" w:eastAsia="Times New Roman" w:hAnsi="Arial" w:cs="Arial"/>
          <w:color w:val="505050"/>
          <w:highlight w:val="darkGray"/>
        </w:rPr>
        <w:t>. As of the spring of 2019, Cyprus had been receiving, on average, about 1 500 applications per million inhabitants each month, more than twice as many as Malta (close to 700) and about three times as many as Greece (over 450).</w:t>
      </w:r>
    </w:p>
    <w:p w14:paraId="6F3D141E" w14:textId="77777777" w:rsidR="00123DC6" w:rsidRPr="004D0EDA" w:rsidRDefault="00123DC6" w:rsidP="00123DC6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4D0EDA">
        <w:rPr>
          <w:rFonts w:ascii="Arial" w:eastAsia="Times New Roman" w:hAnsi="Arial" w:cs="Arial"/>
          <w:color w:val="505050"/>
          <w:highlight w:val="darkGray"/>
        </w:rPr>
        <w:t>At the end of September, there were some </w:t>
      </w:r>
      <w:r w:rsidRPr="004D0EDA">
        <w:rPr>
          <w:rFonts w:ascii="Arial" w:eastAsia="Times New Roman" w:hAnsi="Arial" w:cs="Arial"/>
          <w:b/>
          <w:bCs/>
          <w:color w:val="505050"/>
          <w:highlight w:val="darkGray"/>
        </w:rPr>
        <w:t>507 800 applications awaiting a decision in first instance in the EU+</w:t>
      </w:r>
      <w:r w:rsidRPr="004D0EDA">
        <w:rPr>
          <w:rFonts w:ascii="Arial" w:eastAsia="Times New Roman" w:hAnsi="Arial" w:cs="Arial"/>
          <w:color w:val="505050"/>
          <w:highlight w:val="darkGray"/>
        </w:rPr>
        <w:t xml:space="preserve">. In addition, an estimated 381 700 applications were awaiting a decision at the appeal or review stage at the end of July 2019, amounting to some 890 000 cases pending at all instances overall. This means that currently the </w:t>
      </w:r>
      <w:r w:rsidRPr="004D0EDA">
        <w:rPr>
          <w:rFonts w:ascii="Arial" w:eastAsia="Times New Roman" w:hAnsi="Arial" w:cs="Arial"/>
          <w:color w:val="505050"/>
          <w:highlight w:val="darkGray"/>
        </w:rPr>
        <w:lastRenderedPageBreak/>
        <w:t>pressure is higher on first-instance authorities. One in four pending applications pertained either to Syrian, Afghan or Venezuelan nationals.</w:t>
      </w:r>
    </w:p>
    <w:p w14:paraId="1539AF79" w14:textId="77777777" w:rsidR="00123DC6" w:rsidRPr="00123DC6" w:rsidRDefault="00123DC6" w:rsidP="00123DC6">
      <w:pPr>
        <w:spacing w:before="360" w:after="360"/>
        <w:rPr>
          <w:rFonts w:ascii="Arial" w:eastAsia="Times New Roman" w:hAnsi="Arial" w:cs="Arial"/>
          <w:color w:val="505050"/>
        </w:rPr>
      </w:pPr>
      <w:r w:rsidRPr="004D0EDA">
        <w:rPr>
          <w:rFonts w:ascii="Arial" w:eastAsia="Times New Roman" w:hAnsi="Arial" w:cs="Arial"/>
          <w:color w:val="505050"/>
          <w:highlight w:val="darkGray"/>
        </w:rPr>
        <w:t xml:space="preserve">For more information and an interactive data </w:t>
      </w:r>
      <w:proofErr w:type="spellStart"/>
      <w:r w:rsidRPr="004D0EDA">
        <w:rPr>
          <w:rFonts w:ascii="Arial" w:eastAsia="Times New Roman" w:hAnsi="Arial" w:cs="Arial"/>
          <w:color w:val="505050"/>
          <w:highlight w:val="darkGray"/>
        </w:rPr>
        <w:t>visualisation</w:t>
      </w:r>
      <w:proofErr w:type="spellEnd"/>
      <w:r w:rsidRPr="004D0EDA">
        <w:rPr>
          <w:rFonts w:ascii="Arial" w:eastAsia="Times New Roman" w:hAnsi="Arial" w:cs="Arial"/>
          <w:color w:val="505050"/>
          <w:highlight w:val="darkGray"/>
        </w:rPr>
        <w:t>, please visit the </w:t>
      </w:r>
      <w:hyperlink r:id="rId6" w:tgtFrame="_blank" w:history="1">
        <w:r w:rsidRPr="004D0EDA">
          <w:rPr>
            <w:rFonts w:ascii="Arial" w:eastAsia="Times New Roman" w:hAnsi="Arial" w:cs="Arial"/>
            <w:color w:val="337AB7"/>
            <w:highlight w:val="darkGray"/>
            <w:u w:val="single"/>
          </w:rPr>
          <w:t>Latest Asylum Trends</w:t>
        </w:r>
      </w:hyperlink>
      <w:r w:rsidRPr="004D0EDA">
        <w:rPr>
          <w:rFonts w:ascii="Arial" w:eastAsia="Times New Roman" w:hAnsi="Arial" w:cs="Arial"/>
          <w:color w:val="505050"/>
          <w:highlight w:val="darkGray"/>
        </w:rPr>
        <w:t> page.</w:t>
      </w:r>
      <w:bookmarkStart w:id="0" w:name="_GoBack"/>
      <w:bookmarkEnd w:id="0"/>
    </w:p>
    <w:p w14:paraId="1ADC624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C6E59"/>
    <w:multiLevelType w:val="multilevel"/>
    <w:tmpl w:val="478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F3"/>
    <w:rsid w:val="00123DC6"/>
    <w:rsid w:val="00453EED"/>
    <w:rsid w:val="004D0EDA"/>
    <w:rsid w:val="00BE080D"/>
    <w:rsid w:val="00D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E7839"/>
  <w14:defaultImageDpi w14:val="32767"/>
  <w15:chartTrackingRefBased/>
  <w15:docId w15:val="{35B645B5-358D-A744-BF75-463FE451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D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123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23DC6"/>
  </w:style>
  <w:style w:type="paragraph" w:styleId="NormalWeb">
    <w:name w:val="Normal (Web)"/>
    <w:basedOn w:val="Normal"/>
    <w:uiPriority w:val="99"/>
    <w:semiHidden/>
    <w:unhideWhenUsed/>
    <w:rsid w:val="00123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3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o.europa.eu/latest-asylum-tren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2020-02-23T13:29:00Z</dcterms:created>
  <dcterms:modified xsi:type="dcterms:W3CDTF">2020-04-12T15:33:00Z</dcterms:modified>
</cp:coreProperties>
</file>