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B023" w14:textId="77777777" w:rsidR="00FF5EAF" w:rsidRPr="00BA5409" w:rsidRDefault="00FF5EAF" w:rsidP="00FF5EAF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</w:pPr>
      <w:r w:rsidRPr="00BA5409"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  <w:t>EASO publishes a COI report: Iraq – Security situation and information on civilians killed in Iraq in 2017-2018 (by Iraq Body Count)</w:t>
      </w:r>
    </w:p>
    <w:p w14:paraId="2B791EBC" w14:textId="77777777" w:rsidR="00FF5EAF" w:rsidRPr="00BA5409" w:rsidRDefault="00FF5EAF" w:rsidP="00FF5EAF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</w:pPr>
      <w:r w:rsidRPr="00BA5409"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  <w:t xml:space="preserve"> 14TH MARCH 2019 </w:t>
      </w:r>
    </w:p>
    <w:p w14:paraId="609CDB0D" w14:textId="71149DD1" w:rsidR="00FF5EAF" w:rsidRPr="00BA5409" w:rsidRDefault="00FF5EAF" w:rsidP="00FF5EAF">
      <w:pPr>
        <w:rPr>
          <w:rFonts w:ascii="Times New Roman" w:eastAsia="Times New Roman" w:hAnsi="Times New Roman" w:cs="Times New Roman"/>
          <w:highlight w:val="darkGray"/>
        </w:rPr>
      </w:pPr>
      <w:r w:rsidRPr="00BA5409">
        <w:rPr>
          <w:rFonts w:ascii="Times New Roman" w:eastAsia="Times New Roman" w:hAnsi="Times New Roman" w:cs="Times New Roman"/>
          <w:highlight w:val="darkGray"/>
        </w:rPr>
        <w:fldChar w:fldCharType="begin"/>
      </w:r>
      <w:r w:rsidRPr="00BA5409">
        <w:rPr>
          <w:rFonts w:ascii="Times New Roman" w:eastAsia="Times New Roman" w:hAnsi="Times New Roman" w:cs="Times New Roman"/>
          <w:highlight w:val="darkGray"/>
        </w:rPr>
        <w:instrText xml:space="preserve"> INCLUDEPICTURE "/var/folders/nj/m875g2tj2j50hjqpdb11s_540000gn/T/com.microsoft.Word/WebArchiveCopyPasteTempFiles/mosul-edit.jpg?itok=GpSJO6DH);" \* MERGEFORMATINET </w:instrText>
      </w:r>
      <w:r w:rsidRPr="00BA5409">
        <w:rPr>
          <w:rFonts w:ascii="Times New Roman" w:eastAsia="Times New Roman" w:hAnsi="Times New Roman" w:cs="Times New Roman"/>
          <w:highlight w:val="darkGray"/>
        </w:rPr>
        <w:fldChar w:fldCharType="separate"/>
      </w:r>
      <w:r w:rsidRPr="00BA5409">
        <w:rPr>
          <w:rFonts w:ascii="Times New Roman" w:eastAsia="Times New Roman" w:hAnsi="Times New Roman" w:cs="Times New Roman"/>
          <w:noProof/>
          <w:highlight w:val="darkGray"/>
        </w:rPr>
        <w:drawing>
          <wp:inline distT="0" distB="0" distL="0" distR="0" wp14:anchorId="78D0DCCD" wp14:editId="4EBE2EC2">
            <wp:extent cx="5943600" cy="3964305"/>
            <wp:effectExtent l="0" t="0" r="0" b="0"/>
            <wp:docPr id="1" name="Picture 1" descr="/var/folders/nj/m875g2tj2j50hjqpdb11s_540000gn/T/com.microsoft.Word/WebArchiveCopyPasteTempFiles/mosul-edit.jpg?itok=GpSJO6DH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mosul-edit.jpg?itok=GpSJO6DH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409">
        <w:rPr>
          <w:rFonts w:ascii="Times New Roman" w:eastAsia="Times New Roman" w:hAnsi="Times New Roman" w:cs="Times New Roman"/>
          <w:highlight w:val="darkGray"/>
        </w:rPr>
        <w:fldChar w:fldCharType="end"/>
      </w:r>
    </w:p>
    <w:p w14:paraId="7C8C69DF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 xml:space="preserve">Today, the European Asylum Support Office (EASO) published a Country of Origin Information (COI) Report titled Iraq: Security situation. This report is part of a series of Iraq reports produced in 2018-2019. These reports cover actors of protection, internal mobility, key socio-economic indicators, and targeting of individuals. The reports provide information relevant for international protection status determination for Iraqi asylum </w:t>
      </w:r>
      <w:proofErr w:type="gramStart"/>
      <w:r w:rsidRPr="00BA5409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>seekers, and</w:t>
      </w:r>
      <w:proofErr w:type="gramEnd"/>
      <w:r w:rsidRPr="00BA5409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 xml:space="preserve"> will be used in the development of a country guidance note on Iraq.</w:t>
      </w:r>
    </w:p>
    <w:p w14:paraId="31C67C49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Despite a decrease in asylum applications lodged by Iraqi nationals in EU+ countries in 2018, </w:t>
      </w:r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>Iraq </w:t>
      </w:r>
      <w:r w:rsidRPr="00BA5409">
        <w:rPr>
          <w:rFonts w:ascii="Arial" w:eastAsia="Times New Roman" w:hAnsi="Arial" w:cs="Arial"/>
          <w:color w:val="505050"/>
          <w:highlight w:val="darkGray"/>
        </w:rPr>
        <w:t>was the </w:t>
      </w:r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>third most common country of origin</w:t>
      </w:r>
      <w:r w:rsidRPr="00BA5409">
        <w:rPr>
          <w:rFonts w:ascii="Arial" w:eastAsia="Times New Roman" w:hAnsi="Arial" w:cs="Arial"/>
          <w:color w:val="505050"/>
          <w:highlight w:val="darkGray"/>
        </w:rPr>
        <w:t> with </w:t>
      </w:r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>more than 42,000 applicants</w:t>
      </w:r>
      <w:r w:rsidRPr="00BA5409">
        <w:rPr>
          <w:rFonts w:ascii="Arial" w:eastAsia="Times New Roman" w:hAnsi="Arial" w:cs="Arial"/>
          <w:color w:val="505050"/>
          <w:highlight w:val="darkGray"/>
        </w:rPr>
        <w:t xml:space="preserve">. In January 2019, Iraqi nationals remained the third largest group of </w:t>
      </w:r>
      <w:r w:rsidRPr="00BA5409">
        <w:rPr>
          <w:rFonts w:ascii="Arial" w:eastAsia="Times New Roman" w:hAnsi="Arial" w:cs="Arial"/>
          <w:color w:val="505050"/>
          <w:highlight w:val="darkGray"/>
        </w:rPr>
        <w:lastRenderedPageBreak/>
        <w:t>applicants in EU+ countries after Syrian and Afghan nationals. At the end of January 2019, about </w:t>
      </w:r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 xml:space="preserve">26,000 </w:t>
      </w:r>
      <w:proofErr w:type="spellStart"/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>cases</w:t>
      </w:r>
      <w:r w:rsidRPr="00BA5409">
        <w:rPr>
          <w:rFonts w:ascii="Arial" w:eastAsia="Times New Roman" w:hAnsi="Arial" w:cs="Arial"/>
          <w:color w:val="505050"/>
          <w:highlight w:val="darkGray"/>
        </w:rPr>
        <w:t>awaited</w:t>
      </w:r>
      <w:proofErr w:type="spellEnd"/>
      <w:r w:rsidRPr="00BA5409">
        <w:rPr>
          <w:rFonts w:ascii="Arial" w:eastAsia="Times New Roman" w:hAnsi="Arial" w:cs="Arial"/>
          <w:color w:val="505050"/>
          <w:highlight w:val="darkGray"/>
        </w:rPr>
        <w:t xml:space="preserve"> a </w:t>
      </w:r>
      <w:r w:rsidRPr="00BA5409">
        <w:rPr>
          <w:rFonts w:ascii="Arial" w:eastAsia="Times New Roman" w:hAnsi="Arial" w:cs="Arial"/>
          <w:b/>
          <w:bCs/>
          <w:color w:val="505050"/>
          <w:highlight w:val="darkGray"/>
        </w:rPr>
        <w:t>first-instance decision</w:t>
      </w:r>
      <w:r w:rsidRPr="00BA5409">
        <w:rPr>
          <w:rFonts w:ascii="Arial" w:eastAsia="Times New Roman" w:hAnsi="Arial" w:cs="Arial"/>
          <w:color w:val="505050"/>
          <w:highlight w:val="darkGray"/>
        </w:rPr>
        <w:t>.</w:t>
      </w:r>
    </w:p>
    <w:p w14:paraId="269AC221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The report </w:t>
      </w:r>
      <w:hyperlink r:id="rId6" w:tgtFrame="_blank" w:history="1">
        <w:r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Report: Iraq – Security situation</w:t>
        </w:r>
      </w:hyperlink>
      <w:r w:rsidRPr="00BA5409">
        <w:rPr>
          <w:rFonts w:ascii="Arial" w:eastAsia="Times New Roman" w:hAnsi="Arial" w:cs="Arial"/>
          <w:color w:val="505050"/>
          <w:highlight w:val="darkGray"/>
        </w:rPr>
        <w:t> provides a general overview of the security situation in Iraq, covering the following topics: a general background of recent conflicts in Iraq; the current political situation; information on the main armed actors and their territorial presence and role; an overview of recent security trends; the impact of violence on the civilian population and on the state ability to secure law and order.</w:t>
      </w:r>
    </w:p>
    <w:p w14:paraId="1A163C04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The second part of the report provides a governorate-level description of the security situation. Each governorate chapter includes a map, a brief description of the governorate, background conflict dynamics and armed actors present in the area, followed by a description of security trends in 2018, and the impact of violence on the population.</w:t>
      </w:r>
    </w:p>
    <w:p w14:paraId="620918A1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The report was drafted by Country of Origin Information (COI) specialists on Iraq from Belgium, France and Sweden, together with the EASO COI sector, in accordance with the </w:t>
      </w:r>
      <w:hyperlink r:id="rId7" w:tgtFrame="_blank" w:history="1">
        <w:r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 Methodology</w:t>
        </w:r>
      </w:hyperlink>
      <w:r w:rsidRPr="00BA5409">
        <w:rPr>
          <w:rFonts w:ascii="Arial" w:eastAsia="Times New Roman" w:hAnsi="Arial" w:cs="Arial"/>
          <w:color w:val="505050"/>
          <w:highlight w:val="darkGray"/>
        </w:rPr>
        <w:t>, and was reviewed by COI experts from Norway (</w:t>
      </w:r>
      <w:proofErr w:type="spellStart"/>
      <w:r w:rsidRPr="00BA5409">
        <w:rPr>
          <w:rFonts w:ascii="Arial" w:eastAsia="Times New Roman" w:hAnsi="Arial" w:cs="Arial"/>
          <w:color w:val="505050"/>
          <w:highlight w:val="darkGray"/>
        </w:rPr>
        <w:t>Landinfo</w:t>
      </w:r>
      <w:proofErr w:type="spellEnd"/>
      <w:r w:rsidRPr="00BA5409">
        <w:rPr>
          <w:rFonts w:ascii="Arial" w:eastAsia="Times New Roman" w:hAnsi="Arial" w:cs="Arial"/>
          <w:color w:val="505050"/>
          <w:highlight w:val="darkGray"/>
        </w:rPr>
        <w:t xml:space="preserve">), Austria and Greece. Additionally, an external expert review was carried out by ACCORD, and also by Dr. Fanar Haddad, a Senior Research Fellow at the Middle East Institute, National University of Singapore who </w:t>
      </w:r>
      <w:proofErr w:type="spellStart"/>
      <w:r w:rsidRPr="00BA5409">
        <w:rPr>
          <w:rFonts w:ascii="Arial" w:eastAsia="Times New Roman" w:hAnsi="Arial" w:cs="Arial"/>
          <w:color w:val="505050"/>
          <w:highlight w:val="darkGray"/>
        </w:rPr>
        <w:t>specialises</w:t>
      </w:r>
      <w:proofErr w:type="spellEnd"/>
      <w:r w:rsidRPr="00BA5409">
        <w:rPr>
          <w:rFonts w:ascii="Arial" w:eastAsia="Times New Roman" w:hAnsi="Arial" w:cs="Arial"/>
          <w:color w:val="505050"/>
          <w:highlight w:val="darkGray"/>
        </w:rPr>
        <w:t xml:space="preserve"> in sectarian issues and politics in Iraq.</w:t>
      </w:r>
    </w:p>
    <w:p w14:paraId="1202B4A7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In addition to the security situation report, EASO published a country of origin information document produced by Iraq Body Count (IBC), which provides data and trends with regard to civilian deaths during the conflict in 2017-2018: </w:t>
      </w:r>
      <w:hyperlink r:id="rId8" w:tgtFrame="_blank" w:history="1">
        <w:r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Iraq Body Count Data and Analysis on Civilians Killed in Iraq, 2012, 2017-2018</w:t>
        </w:r>
      </w:hyperlink>
      <w:r w:rsidRPr="00BA5409">
        <w:rPr>
          <w:rFonts w:ascii="Arial" w:eastAsia="Times New Roman" w:hAnsi="Arial" w:cs="Arial"/>
          <w:color w:val="505050"/>
          <w:highlight w:val="darkGray"/>
        </w:rPr>
        <w:t>.</w:t>
      </w:r>
    </w:p>
    <w:p w14:paraId="0CD92E2F" w14:textId="77777777" w:rsidR="00FF5EAF" w:rsidRPr="00BA5409" w:rsidRDefault="00FF5EAF" w:rsidP="00FF5EAF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Additional information to complement this report can be found in the following EASO reports:</w:t>
      </w:r>
    </w:p>
    <w:p w14:paraId="02CD6771" w14:textId="77777777" w:rsidR="00FF5EAF" w:rsidRPr="00BA5409" w:rsidRDefault="00BA5409" w:rsidP="00FF5EA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05050"/>
          <w:highlight w:val="darkGray"/>
        </w:rPr>
      </w:pPr>
      <w:hyperlink r:id="rId9" w:tgtFrame="_blank" w:history="1">
        <w:r w:rsidR="00FF5EAF"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Report: Iraq – Actors of Protection</w:t>
        </w:r>
      </w:hyperlink>
    </w:p>
    <w:p w14:paraId="1D060D87" w14:textId="77777777" w:rsidR="00FF5EAF" w:rsidRPr="00BA5409" w:rsidRDefault="00BA5409" w:rsidP="00FF5EA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05050"/>
          <w:highlight w:val="darkGray"/>
        </w:rPr>
      </w:pPr>
      <w:hyperlink r:id="rId10" w:tgtFrame="_blank" w:history="1">
        <w:r w:rsidR="00FF5EAF"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Report: Iraq – Key socio-economic indicators</w:t>
        </w:r>
      </w:hyperlink>
    </w:p>
    <w:p w14:paraId="0C41C5B8" w14:textId="77777777" w:rsidR="00FF5EAF" w:rsidRPr="00BA5409" w:rsidRDefault="00BA5409" w:rsidP="00FF5EA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05050"/>
          <w:highlight w:val="darkGray"/>
        </w:rPr>
      </w:pPr>
      <w:hyperlink r:id="rId11" w:tgtFrame="_blank" w:history="1">
        <w:r w:rsidR="00FF5EAF"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Report: Iraq – Internal mobility</w:t>
        </w:r>
      </w:hyperlink>
    </w:p>
    <w:p w14:paraId="524AEDDF" w14:textId="77777777" w:rsidR="00FF5EAF" w:rsidRPr="00BA5409" w:rsidRDefault="00BA5409" w:rsidP="00FF5EA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05050"/>
          <w:highlight w:val="darkGray"/>
        </w:rPr>
      </w:pPr>
      <w:hyperlink r:id="rId12" w:tgtFrame="_blank" w:history="1">
        <w:r w:rsidR="00FF5EAF"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EASO COI report, Iraq – Targeting of individuals</w:t>
        </w:r>
      </w:hyperlink>
    </w:p>
    <w:p w14:paraId="1F946F89" w14:textId="77777777" w:rsidR="00FF5EAF" w:rsidRPr="00FF5EAF" w:rsidRDefault="00FF5EAF" w:rsidP="00FF5EAF">
      <w:pPr>
        <w:spacing w:before="360" w:after="360"/>
        <w:rPr>
          <w:rFonts w:ascii="Arial" w:eastAsia="Times New Roman" w:hAnsi="Arial" w:cs="Arial"/>
          <w:color w:val="505050"/>
        </w:rPr>
      </w:pPr>
      <w:r w:rsidRPr="00BA5409">
        <w:rPr>
          <w:rFonts w:ascii="Arial" w:eastAsia="Times New Roman" w:hAnsi="Arial" w:cs="Arial"/>
          <w:color w:val="505050"/>
          <w:highlight w:val="darkGray"/>
        </w:rPr>
        <w:t>You can download the report at: </w:t>
      </w:r>
      <w:hyperlink r:id="rId13" w:tgtFrame="_blank" w:history="1">
        <w:r w:rsidRPr="00BA5409">
          <w:rPr>
            <w:rFonts w:ascii="Arial" w:eastAsia="Times New Roman" w:hAnsi="Arial" w:cs="Arial"/>
            <w:color w:val="337AB7"/>
            <w:highlight w:val="darkGray"/>
            <w:u w:val="single"/>
          </w:rPr>
          <w:t>https://coi.easo.europa.eu/administration/easo/PLib/Iraq_security_situation.pdf</w:t>
        </w:r>
      </w:hyperlink>
      <w:r w:rsidRPr="00BA5409">
        <w:rPr>
          <w:rFonts w:ascii="Arial" w:eastAsia="Times New Roman" w:hAnsi="Arial" w:cs="Arial"/>
          <w:color w:val="505050"/>
          <w:highlight w:val="darkGray"/>
        </w:rPr>
        <w:t>.</w:t>
      </w:r>
      <w:bookmarkStart w:id="0" w:name="_GoBack"/>
      <w:bookmarkEnd w:id="0"/>
    </w:p>
    <w:p w14:paraId="2881972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3A7"/>
    <w:multiLevelType w:val="multilevel"/>
    <w:tmpl w:val="9F1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737BE"/>
    <w:multiLevelType w:val="multilevel"/>
    <w:tmpl w:val="40D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56"/>
    <w:rsid w:val="00453EED"/>
    <w:rsid w:val="00815656"/>
    <w:rsid w:val="00BA5409"/>
    <w:rsid w:val="00BE080D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237A0"/>
  <w14:defaultImageDpi w14:val="32767"/>
  <w15:chartTrackingRefBased/>
  <w15:docId w15:val="{60517847-C3D3-E940-9982-F828D0E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E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FF5E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F5EAF"/>
  </w:style>
  <w:style w:type="paragraph" w:styleId="NormalWeb">
    <w:name w:val="Normal (Web)"/>
    <w:basedOn w:val="Normal"/>
    <w:uiPriority w:val="99"/>
    <w:semiHidden/>
    <w:unhideWhenUsed/>
    <w:rsid w:val="00FF5E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5EAF"/>
    <w:rPr>
      <w:b/>
      <w:bCs/>
    </w:rPr>
  </w:style>
  <w:style w:type="character" w:styleId="Emphasis">
    <w:name w:val="Emphasis"/>
    <w:basedOn w:val="DefaultParagraphFont"/>
    <w:uiPriority w:val="20"/>
    <w:qFormat/>
    <w:rsid w:val="00FF5EA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5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.easo.europa.eu/administration/easo/PLib/Iraq_IBC_Civilian_Deaths.pdf" TargetMode="External"/><Relationship Id="rId13" Type="http://schemas.openxmlformats.org/officeDocument/2006/relationships/hyperlink" Target="https://coi.easo.europa.eu/administration/easo/PLib/Iraq_security_situ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.easo.europa.eu/administration/easo/PLib/EASO_COI_Report_Methodology.pdf" TargetMode="External"/><Relationship Id="rId12" Type="http://schemas.openxmlformats.org/officeDocument/2006/relationships/hyperlink" Target="https://coi.easo.europa.eu/administration/easo/PLib/Iraq_targeting_of_individua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.easo.europa.eu/administration/easo/PLib/Iraq_security_situation.pdf" TargetMode="External"/><Relationship Id="rId11" Type="http://schemas.openxmlformats.org/officeDocument/2006/relationships/hyperlink" Target="https://coi.easo.europa.eu/administration/easo/PLib/Iraq-Internal_Mobility.pdf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oi.easo.europa.eu/administration/easo/PLib/Iraq_key_socio-economic_indicato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i.easo.europa.eu/administration/easo/PLib/Iraq_Actors_of_Protection_20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2020-02-23T13:50:00Z</dcterms:created>
  <dcterms:modified xsi:type="dcterms:W3CDTF">2020-04-12T16:25:00Z</dcterms:modified>
</cp:coreProperties>
</file>