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FA2AF" w14:textId="77777777" w:rsidR="00F832A1" w:rsidRPr="00F832A1" w:rsidRDefault="00F832A1" w:rsidP="00F832A1">
      <w:pPr>
        <w:spacing w:line="360" w:lineRule="atLeast"/>
        <w:outlineLvl w:val="0"/>
        <w:rPr>
          <w:rFonts w:ascii="Arial" w:eastAsia="Times New Roman" w:hAnsi="Arial" w:cs="Arial"/>
          <w:color w:val="505050"/>
          <w:kern w:val="36"/>
          <w:sz w:val="48"/>
          <w:szCs w:val="48"/>
        </w:rPr>
      </w:pPr>
      <w:r w:rsidRPr="00F832A1">
        <w:rPr>
          <w:rFonts w:ascii="Arial" w:eastAsia="Times New Roman" w:hAnsi="Arial" w:cs="Arial"/>
          <w:color w:val="505050"/>
          <w:kern w:val="36"/>
          <w:sz w:val="48"/>
          <w:szCs w:val="48"/>
        </w:rPr>
        <w:t xml:space="preserve">EASO publishes two COI reports on Iraq: Key socio-economic indicators (Baghdad, </w:t>
      </w:r>
      <w:proofErr w:type="spellStart"/>
      <w:r w:rsidRPr="00F832A1">
        <w:rPr>
          <w:rFonts w:ascii="Arial" w:eastAsia="Times New Roman" w:hAnsi="Arial" w:cs="Arial"/>
          <w:color w:val="505050"/>
          <w:kern w:val="36"/>
          <w:sz w:val="48"/>
          <w:szCs w:val="48"/>
        </w:rPr>
        <w:t>Basrah</w:t>
      </w:r>
      <w:proofErr w:type="spellEnd"/>
      <w:r w:rsidRPr="00F832A1">
        <w:rPr>
          <w:rFonts w:ascii="Arial" w:eastAsia="Times New Roman" w:hAnsi="Arial" w:cs="Arial"/>
          <w:color w:val="505050"/>
          <w:kern w:val="36"/>
          <w:sz w:val="48"/>
          <w:szCs w:val="48"/>
        </w:rPr>
        <w:t>, Erbil) and Internal mobility</w:t>
      </w:r>
    </w:p>
    <w:p w14:paraId="3F9107A3" w14:textId="77777777" w:rsidR="00F832A1" w:rsidRPr="00F832A1" w:rsidRDefault="00F832A1" w:rsidP="00F832A1">
      <w:pPr>
        <w:numPr>
          <w:ilvl w:val="0"/>
          <w:numId w:val="1"/>
        </w:numPr>
        <w:spacing w:before="100" w:beforeAutospacing="1" w:after="100" w:afterAutospacing="1"/>
        <w:ind w:left="0" w:right="150"/>
        <w:rPr>
          <w:rFonts w:ascii="Arial" w:eastAsia="Times New Roman" w:hAnsi="Arial" w:cs="Arial"/>
          <w:caps/>
          <w:color w:val="C2C2C2"/>
          <w:sz w:val="17"/>
          <w:szCs w:val="17"/>
        </w:rPr>
      </w:pPr>
      <w:r w:rsidRPr="00F832A1">
        <w:rPr>
          <w:rFonts w:ascii="Arial" w:eastAsia="Times New Roman" w:hAnsi="Arial" w:cs="Arial"/>
          <w:caps/>
          <w:color w:val="C2C2C2"/>
          <w:sz w:val="17"/>
          <w:szCs w:val="17"/>
        </w:rPr>
        <w:t xml:space="preserve"> 5TH FEBRUARY 2019 </w:t>
      </w:r>
    </w:p>
    <w:p w14:paraId="39DEDFEB" w14:textId="23EACEDF" w:rsidR="00F832A1" w:rsidRPr="00F832A1" w:rsidRDefault="00F832A1" w:rsidP="00F832A1">
      <w:pPr>
        <w:rPr>
          <w:rFonts w:ascii="Times New Roman" w:eastAsia="Times New Roman" w:hAnsi="Times New Roman" w:cs="Times New Roman"/>
        </w:rPr>
      </w:pPr>
      <w:r w:rsidRPr="00F832A1">
        <w:rPr>
          <w:rFonts w:ascii="Times New Roman" w:eastAsia="Times New Roman" w:hAnsi="Times New Roman" w:cs="Times New Roman"/>
        </w:rPr>
        <w:fldChar w:fldCharType="begin"/>
      </w:r>
      <w:r w:rsidRPr="00F832A1">
        <w:rPr>
          <w:rFonts w:ascii="Times New Roman" w:eastAsia="Times New Roman" w:hAnsi="Times New Roman" w:cs="Times New Roman"/>
        </w:rPr>
        <w:instrText xml:space="preserve"> INCLUDEPICTURE "/var/folders/nj/m875g2tj2j50hjqpdb11s_540000gn/T/com.microsoft.Word/WebArchiveCopyPasteTempFiles/iStock-685898768-edit.jpg?itok=eZTGEqTl);" \* MERGEFORMATINET </w:instrText>
      </w:r>
      <w:r w:rsidRPr="00F832A1">
        <w:rPr>
          <w:rFonts w:ascii="Times New Roman" w:eastAsia="Times New Roman" w:hAnsi="Times New Roman" w:cs="Times New Roman"/>
        </w:rPr>
        <w:fldChar w:fldCharType="separate"/>
      </w:r>
      <w:r w:rsidRPr="00F832A1">
        <w:rPr>
          <w:rFonts w:ascii="Times New Roman" w:eastAsia="Times New Roman" w:hAnsi="Times New Roman" w:cs="Times New Roman"/>
          <w:noProof/>
        </w:rPr>
        <w:drawing>
          <wp:inline distT="0" distB="0" distL="0" distR="0" wp14:anchorId="2C47AB34" wp14:editId="1DFA3C5F">
            <wp:extent cx="5943600" cy="3964305"/>
            <wp:effectExtent l="0" t="0" r="0" b="0"/>
            <wp:docPr id="1" name="Picture 1" descr="/var/folders/nj/m875g2tj2j50hjqpdb11s_540000gn/T/com.microsoft.Word/WebArchiveCopyPasteTempFiles/iStock-685898768-edit.jpg?itok=eZTGEq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685898768-edit.jpg?itok=eZTGEq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F832A1">
        <w:rPr>
          <w:rFonts w:ascii="Times New Roman" w:eastAsia="Times New Roman" w:hAnsi="Times New Roman" w:cs="Times New Roman"/>
        </w:rPr>
        <w:fldChar w:fldCharType="end"/>
      </w:r>
    </w:p>
    <w:p w14:paraId="3640FCD5" w14:textId="77777777" w:rsidR="00F832A1" w:rsidRPr="00F832A1" w:rsidRDefault="00F832A1" w:rsidP="00F832A1">
      <w:pPr>
        <w:spacing w:before="360" w:after="360"/>
        <w:rPr>
          <w:rFonts w:ascii="Arial" w:eastAsia="Times New Roman" w:hAnsi="Arial" w:cs="Arial"/>
          <w:color w:val="505050"/>
        </w:rPr>
      </w:pPr>
      <w:r w:rsidRPr="00457C91">
        <w:rPr>
          <w:rFonts w:ascii="Arial" w:eastAsia="Times New Roman" w:hAnsi="Arial" w:cs="Arial"/>
          <w:b/>
          <w:bCs/>
          <w:i/>
          <w:iCs/>
          <w:color w:val="505050"/>
          <w:highlight w:val="darkGray"/>
        </w:rPr>
        <w:t xml:space="preserve">Today, the European Asylum Support Office (EASO) published two Country of Origin Information (COI) Reports on Iraq. One report is titled Key socio-economic indicators (Baghdad, </w:t>
      </w:r>
      <w:proofErr w:type="spellStart"/>
      <w:r w:rsidRPr="00457C91">
        <w:rPr>
          <w:rFonts w:ascii="Arial" w:eastAsia="Times New Roman" w:hAnsi="Arial" w:cs="Arial"/>
          <w:b/>
          <w:bCs/>
          <w:i/>
          <w:iCs/>
          <w:color w:val="505050"/>
          <w:highlight w:val="darkGray"/>
        </w:rPr>
        <w:t>Basrah</w:t>
      </w:r>
      <w:proofErr w:type="spellEnd"/>
      <w:r w:rsidRPr="00457C91">
        <w:rPr>
          <w:rFonts w:ascii="Arial" w:eastAsia="Times New Roman" w:hAnsi="Arial" w:cs="Arial"/>
          <w:b/>
          <w:bCs/>
          <w:i/>
          <w:iCs/>
          <w:color w:val="505050"/>
          <w:highlight w:val="darkGray"/>
        </w:rPr>
        <w:t xml:space="preserve">, Erbil), and the second one Internal Mobility. These reports are part of a series of Iraq reports produced in 2018-2019. They cover actors of protection, key socio-economic indicators in Baghdad, </w:t>
      </w:r>
      <w:proofErr w:type="spellStart"/>
      <w:r w:rsidRPr="00457C91">
        <w:rPr>
          <w:rFonts w:ascii="Arial" w:eastAsia="Times New Roman" w:hAnsi="Arial" w:cs="Arial"/>
          <w:b/>
          <w:bCs/>
          <w:i/>
          <w:iCs/>
          <w:color w:val="505050"/>
          <w:highlight w:val="darkGray"/>
        </w:rPr>
        <w:t>Basrah</w:t>
      </w:r>
      <w:proofErr w:type="spellEnd"/>
      <w:r w:rsidRPr="00457C91">
        <w:rPr>
          <w:rFonts w:ascii="Arial" w:eastAsia="Times New Roman" w:hAnsi="Arial" w:cs="Arial"/>
          <w:b/>
          <w:bCs/>
          <w:i/>
          <w:iCs/>
          <w:color w:val="505050"/>
          <w:highlight w:val="darkGray"/>
        </w:rPr>
        <w:t xml:space="preserve">, and Erbil, and targeting of individuals. A security situation report will also be published in early 2019. The reports provide information relevant for international protection status determination for Iraqi asylum </w:t>
      </w:r>
      <w:proofErr w:type="gramStart"/>
      <w:r w:rsidRPr="00457C91">
        <w:rPr>
          <w:rFonts w:ascii="Arial" w:eastAsia="Times New Roman" w:hAnsi="Arial" w:cs="Arial"/>
          <w:b/>
          <w:bCs/>
          <w:i/>
          <w:iCs/>
          <w:color w:val="505050"/>
          <w:highlight w:val="darkGray"/>
        </w:rPr>
        <w:t>seekers</w:t>
      </w:r>
      <w:r w:rsidRPr="00F832A1">
        <w:rPr>
          <w:rFonts w:ascii="Arial" w:eastAsia="Times New Roman" w:hAnsi="Arial" w:cs="Arial"/>
          <w:b/>
          <w:bCs/>
          <w:i/>
          <w:iCs/>
          <w:color w:val="505050"/>
        </w:rPr>
        <w:t xml:space="preserve">, </w:t>
      </w:r>
      <w:r w:rsidRPr="00457C91">
        <w:rPr>
          <w:rFonts w:ascii="Arial" w:eastAsia="Times New Roman" w:hAnsi="Arial" w:cs="Arial"/>
          <w:b/>
          <w:bCs/>
          <w:i/>
          <w:iCs/>
          <w:color w:val="505050"/>
          <w:highlight w:val="lightGray"/>
        </w:rPr>
        <w:t>and</w:t>
      </w:r>
      <w:proofErr w:type="gramEnd"/>
      <w:r w:rsidRPr="00457C91">
        <w:rPr>
          <w:rFonts w:ascii="Arial" w:eastAsia="Times New Roman" w:hAnsi="Arial" w:cs="Arial"/>
          <w:b/>
          <w:bCs/>
          <w:i/>
          <w:iCs/>
          <w:color w:val="505050"/>
          <w:highlight w:val="lightGray"/>
        </w:rPr>
        <w:t xml:space="preserve"> will be used in the development of a country guidance note on Iraq.</w:t>
      </w:r>
      <w:r w:rsidRPr="00F832A1">
        <w:rPr>
          <w:rFonts w:ascii="Arial" w:eastAsia="Times New Roman" w:hAnsi="Arial" w:cs="Arial"/>
          <w:b/>
          <w:bCs/>
          <w:i/>
          <w:iCs/>
          <w:color w:val="505050"/>
        </w:rPr>
        <w:t> </w:t>
      </w:r>
    </w:p>
    <w:p w14:paraId="763055A3" w14:textId="77777777" w:rsidR="00F832A1" w:rsidRPr="00F832A1" w:rsidRDefault="00F832A1" w:rsidP="00F832A1">
      <w:pPr>
        <w:spacing w:before="360" w:after="360"/>
        <w:rPr>
          <w:rFonts w:ascii="Arial" w:eastAsia="Times New Roman" w:hAnsi="Arial" w:cs="Arial"/>
          <w:color w:val="505050"/>
        </w:rPr>
      </w:pPr>
      <w:r w:rsidRPr="00F832A1">
        <w:rPr>
          <w:rFonts w:ascii="Arial" w:eastAsia="Times New Roman" w:hAnsi="Arial" w:cs="Arial"/>
          <w:b/>
          <w:bCs/>
          <w:i/>
          <w:iCs/>
          <w:color w:val="505050"/>
        </w:rPr>
        <w:t>Both reports, </w:t>
      </w:r>
      <w:hyperlink r:id="rId6" w:tgtFrame="_blank" w:history="1">
        <w:r w:rsidRPr="00F832A1">
          <w:rPr>
            <w:rFonts w:ascii="Arial" w:eastAsia="Times New Roman" w:hAnsi="Arial" w:cs="Arial"/>
            <w:b/>
            <w:bCs/>
            <w:i/>
            <w:iCs/>
            <w:color w:val="337AB7"/>
            <w:u w:val="single"/>
          </w:rPr>
          <w:t>EASO COI Report: Iraq – Internal mobility</w:t>
        </w:r>
      </w:hyperlink>
      <w:r w:rsidRPr="00F832A1">
        <w:rPr>
          <w:rFonts w:ascii="Arial" w:eastAsia="Times New Roman" w:hAnsi="Arial" w:cs="Arial"/>
          <w:b/>
          <w:bCs/>
          <w:i/>
          <w:iCs/>
          <w:color w:val="505050"/>
        </w:rPr>
        <w:t> and </w:t>
      </w:r>
      <w:hyperlink r:id="rId7" w:tgtFrame="_blank" w:history="1">
        <w:r w:rsidRPr="00F832A1">
          <w:rPr>
            <w:rFonts w:ascii="Arial" w:eastAsia="Times New Roman" w:hAnsi="Arial" w:cs="Arial"/>
            <w:b/>
            <w:bCs/>
            <w:i/>
            <w:iCs/>
            <w:color w:val="337AB7"/>
            <w:u w:val="single"/>
          </w:rPr>
          <w:t>EASO COI Report – Iraq: Key socio-economic indicators</w:t>
        </w:r>
      </w:hyperlink>
      <w:r w:rsidRPr="00F832A1">
        <w:rPr>
          <w:rFonts w:ascii="Arial" w:eastAsia="Times New Roman" w:hAnsi="Arial" w:cs="Arial"/>
          <w:b/>
          <w:bCs/>
          <w:i/>
          <w:iCs/>
          <w:color w:val="505050"/>
        </w:rPr>
        <w:t>, should be read in conjunction with each other.</w:t>
      </w:r>
    </w:p>
    <w:p w14:paraId="37523B63" w14:textId="77777777" w:rsidR="00F832A1" w:rsidRPr="00F832A1" w:rsidRDefault="00F832A1" w:rsidP="00F832A1">
      <w:pPr>
        <w:spacing w:before="360" w:after="360"/>
        <w:rPr>
          <w:rFonts w:ascii="Arial" w:eastAsia="Times New Roman" w:hAnsi="Arial" w:cs="Arial"/>
          <w:color w:val="505050"/>
        </w:rPr>
      </w:pPr>
      <w:r w:rsidRPr="00457C91">
        <w:rPr>
          <w:rFonts w:ascii="Arial" w:eastAsia="Times New Roman" w:hAnsi="Arial" w:cs="Arial"/>
          <w:color w:val="505050"/>
          <w:highlight w:val="darkGray"/>
        </w:rPr>
        <w:lastRenderedPageBreak/>
        <w:t>In </w:t>
      </w:r>
      <w:r w:rsidRPr="00457C91">
        <w:rPr>
          <w:rFonts w:ascii="Arial" w:eastAsia="Times New Roman" w:hAnsi="Arial" w:cs="Arial"/>
          <w:b/>
          <w:bCs/>
          <w:color w:val="505050"/>
          <w:highlight w:val="darkGray"/>
        </w:rPr>
        <w:t>2017</w:t>
      </w:r>
      <w:r w:rsidRPr="00457C91">
        <w:rPr>
          <w:rFonts w:ascii="Arial" w:eastAsia="Times New Roman" w:hAnsi="Arial" w:cs="Arial"/>
          <w:color w:val="505050"/>
          <w:highlight w:val="darkGray"/>
        </w:rPr>
        <w:t>, </w:t>
      </w:r>
      <w:r w:rsidRPr="00457C91">
        <w:rPr>
          <w:rFonts w:ascii="Arial" w:eastAsia="Times New Roman" w:hAnsi="Arial" w:cs="Arial"/>
          <w:b/>
          <w:bCs/>
          <w:color w:val="505050"/>
          <w:highlight w:val="darkGray"/>
        </w:rPr>
        <w:t>Iraq</w:t>
      </w:r>
      <w:r w:rsidRPr="00457C91">
        <w:rPr>
          <w:rFonts w:ascii="Arial" w:eastAsia="Times New Roman" w:hAnsi="Arial" w:cs="Arial"/>
          <w:color w:val="505050"/>
          <w:highlight w:val="darkGray"/>
        </w:rPr>
        <w:t> ranked </w:t>
      </w:r>
      <w:r w:rsidRPr="00457C91">
        <w:rPr>
          <w:rFonts w:ascii="Arial" w:eastAsia="Times New Roman" w:hAnsi="Arial" w:cs="Arial"/>
          <w:b/>
          <w:bCs/>
          <w:color w:val="505050"/>
          <w:highlight w:val="darkGray"/>
        </w:rPr>
        <w:t>second</w:t>
      </w:r>
      <w:r w:rsidRPr="00457C91">
        <w:rPr>
          <w:rFonts w:ascii="Arial" w:eastAsia="Times New Roman" w:hAnsi="Arial" w:cs="Arial"/>
          <w:color w:val="505050"/>
          <w:highlight w:val="darkGray"/>
        </w:rPr>
        <w:t> among the most common </w:t>
      </w:r>
      <w:r w:rsidRPr="00457C91">
        <w:rPr>
          <w:rFonts w:ascii="Arial" w:eastAsia="Times New Roman" w:hAnsi="Arial" w:cs="Arial"/>
          <w:b/>
          <w:bCs/>
          <w:color w:val="505050"/>
          <w:highlight w:val="darkGray"/>
        </w:rPr>
        <w:t>countries of origin</w:t>
      </w:r>
      <w:r w:rsidRPr="00457C91">
        <w:rPr>
          <w:rFonts w:ascii="Arial" w:eastAsia="Times New Roman" w:hAnsi="Arial" w:cs="Arial"/>
          <w:color w:val="505050"/>
          <w:highlight w:val="darkGray"/>
        </w:rPr>
        <w:t> with </w:t>
      </w:r>
      <w:r w:rsidRPr="00457C91">
        <w:rPr>
          <w:rFonts w:ascii="Arial" w:eastAsia="Times New Roman" w:hAnsi="Arial" w:cs="Arial"/>
          <w:b/>
          <w:bCs/>
          <w:color w:val="505050"/>
          <w:highlight w:val="darkGray"/>
        </w:rPr>
        <w:t>more than 52 500 persons applying for international protection in the EU+ countries</w:t>
      </w:r>
      <w:r w:rsidRPr="00457C91">
        <w:rPr>
          <w:rFonts w:ascii="Arial" w:eastAsia="Times New Roman" w:hAnsi="Arial" w:cs="Arial"/>
          <w:color w:val="505050"/>
          <w:highlight w:val="darkGray"/>
        </w:rPr>
        <w:t>. In 2018, fewer asylum applications were lodged by Iraqi nationals in EU+ countries. Despite this decrease, Iraq was the third most common country of origin of applicants in the EU+, with close to </w:t>
      </w:r>
      <w:r w:rsidRPr="00457C91">
        <w:rPr>
          <w:rFonts w:ascii="Arial" w:eastAsia="Times New Roman" w:hAnsi="Arial" w:cs="Arial"/>
          <w:b/>
          <w:bCs/>
          <w:color w:val="505050"/>
          <w:highlight w:val="darkGray"/>
        </w:rPr>
        <w:t>42 000 applicants recorded from January to October 2018</w:t>
      </w:r>
      <w:r w:rsidRPr="00457C91">
        <w:rPr>
          <w:rFonts w:ascii="Arial" w:eastAsia="Times New Roman" w:hAnsi="Arial" w:cs="Arial"/>
          <w:color w:val="505050"/>
          <w:highlight w:val="darkGray"/>
        </w:rPr>
        <w:t>. At the end of October 2018, around </w:t>
      </w:r>
      <w:r w:rsidRPr="00457C91">
        <w:rPr>
          <w:rFonts w:ascii="Arial" w:eastAsia="Times New Roman" w:hAnsi="Arial" w:cs="Arial"/>
          <w:b/>
          <w:bCs/>
          <w:color w:val="505050"/>
          <w:highlight w:val="darkGray"/>
        </w:rPr>
        <w:t>26 000 </w:t>
      </w:r>
      <w:r w:rsidRPr="00457C91">
        <w:rPr>
          <w:rFonts w:ascii="Arial" w:eastAsia="Times New Roman" w:hAnsi="Arial" w:cs="Arial"/>
          <w:color w:val="505050"/>
          <w:highlight w:val="darkGray"/>
        </w:rPr>
        <w:t>cases awaited a </w:t>
      </w:r>
      <w:r w:rsidRPr="00457C91">
        <w:rPr>
          <w:rFonts w:ascii="Arial" w:eastAsia="Times New Roman" w:hAnsi="Arial" w:cs="Arial"/>
          <w:b/>
          <w:bCs/>
          <w:color w:val="505050"/>
          <w:highlight w:val="darkGray"/>
        </w:rPr>
        <w:t>first-instance decision</w:t>
      </w:r>
      <w:r w:rsidRPr="00F832A1">
        <w:rPr>
          <w:rFonts w:ascii="Arial" w:eastAsia="Times New Roman" w:hAnsi="Arial" w:cs="Arial"/>
          <w:b/>
          <w:bCs/>
          <w:color w:val="505050"/>
        </w:rPr>
        <w:t>.</w:t>
      </w:r>
    </w:p>
    <w:p w14:paraId="68BD1177" w14:textId="77777777" w:rsidR="00F832A1" w:rsidRPr="00F832A1" w:rsidRDefault="00F832A1" w:rsidP="00F832A1">
      <w:pPr>
        <w:spacing w:before="360" w:after="360"/>
        <w:rPr>
          <w:rFonts w:ascii="Arial" w:eastAsia="Times New Roman" w:hAnsi="Arial" w:cs="Arial"/>
          <w:color w:val="505050"/>
        </w:rPr>
      </w:pPr>
      <w:r w:rsidRPr="00F832A1">
        <w:rPr>
          <w:rFonts w:ascii="Arial" w:eastAsia="Times New Roman" w:hAnsi="Arial" w:cs="Arial"/>
          <w:color w:val="505050"/>
        </w:rPr>
        <w:t>The </w:t>
      </w:r>
      <w:hyperlink r:id="rId8" w:tgtFrame="_blank" w:history="1">
        <w:r w:rsidRPr="00F832A1">
          <w:rPr>
            <w:rFonts w:ascii="Arial" w:eastAsia="Times New Roman" w:hAnsi="Arial" w:cs="Arial"/>
            <w:b/>
            <w:bCs/>
            <w:color w:val="337AB7"/>
            <w:u w:val="single"/>
          </w:rPr>
          <w:t>EASO COI Report: Iraq – Internal mobility</w:t>
        </w:r>
      </w:hyperlink>
      <w:r w:rsidRPr="00F832A1">
        <w:rPr>
          <w:rFonts w:ascii="Arial" w:eastAsia="Times New Roman" w:hAnsi="Arial" w:cs="Arial"/>
          <w:color w:val="505050"/>
        </w:rPr>
        <w:t> aims to provide information on </w:t>
      </w:r>
      <w:r w:rsidRPr="00F832A1">
        <w:rPr>
          <w:rFonts w:ascii="Arial" w:eastAsia="Times New Roman" w:hAnsi="Arial" w:cs="Arial"/>
          <w:b/>
          <w:bCs/>
          <w:color w:val="505050"/>
        </w:rPr>
        <w:t>legal and practical aspects of mobility in Iraq</w:t>
      </w:r>
      <w:r w:rsidRPr="00F832A1">
        <w:rPr>
          <w:rFonts w:ascii="Arial" w:eastAsia="Times New Roman" w:hAnsi="Arial" w:cs="Arial"/>
          <w:color w:val="505050"/>
        </w:rPr>
        <w:t xml:space="preserve">. </w:t>
      </w:r>
      <w:r w:rsidRPr="00457C91">
        <w:rPr>
          <w:rFonts w:ascii="Arial" w:eastAsia="Times New Roman" w:hAnsi="Arial" w:cs="Arial"/>
          <w:color w:val="505050"/>
          <w:highlight w:val="darkGray"/>
        </w:rPr>
        <w:t>The report was drafted by the EASO COI Sector in accordance with the </w:t>
      </w:r>
      <w:hyperlink r:id="rId9" w:tgtFrame="_blank" w:history="1">
        <w:r w:rsidRPr="00457C91">
          <w:rPr>
            <w:rFonts w:ascii="Arial" w:eastAsia="Times New Roman" w:hAnsi="Arial" w:cs="Arial"/>
            <w:color w:val="337AB7"/>
            <w:highlight w:val="darkGray"/>
            <w:u w:val="single"/>
          </w:rPr>
          <w:t>EASO COI Report Methodology</w:t>
        </w:r>
      </w:hyperlink>
      <w:r w:rsidRPr="00457C91">
        <w:rPr>
          <w:rFonts w:ascii="Arial" w:eastAsia="Times New Roman" w:hAnsi="Arial" w:cs="Arial"/>
          <w:color w:val="505050"/>
          <w:highlight w:val="darkGray"/>
        </w:rPr>
        <w:t>,</w:t>
      </w:r>
      <w:r w:rsidRPr="00F832A1">
        <w:rPr>
          <w:rFonts w:ascii="Arial" w:eastAsia="Times New Roman" w:hAnsi="Arial" w:cs="Arial"/>
          <w:color w:val="505050"/>
        </w:rPr>
        <w:t xml:space="preserve"> and was reviewed by the Estonian Police and Border Guard Board and the Hungarian Immigration and Asylum Office’s Centre for Documentation. </w:t>
      </w:r>
      <w:r w:rsidRPr="00457C91">
        <w:rPr>
          <w:rFonts w:ascii="Arial" w:eastAsia="Times New Roman" w:hAnsi="Arial" w:cs="Arial"/>
          <w:color w:val="505050"/>
          <w:highlight w:val="darkGray"/>
        </w:rPr>
        <w:t xml:space="preserve">In addition, the report was reviewed by the external expert </w:t>
      </w:r>
      <w:proofErr w:type="spellStart"/>
      <w:r w:rsidRPr="00457C91">
        <w:rPr>
          <w:rFonts w:ascii="Arial" w:eastAsia="Times New Roman" w:hAnsi="Arial" w:cs="Arial"/>
          <w:color w:val="505050"/>
          <w:highlight w:val="darkGray"/>
        </w:rPr>
        <w:t>Dr</w:t>
      </w:r>
      <w:proofErr w:type="spellEnd"/>
      <w:r w:rsidRPr="00457C91">
        <w:rPr>
          <w:rFonts w:ascii="Arial" w:eastAsia="Times New Roman" w:hAnsi="Arial" w:cs="Arial"/>
          <w:color w:val="505050"/>
          <w:highlight w:val="darkGray"/>
        </w:rPr>
        <w:t xml:space="preserve"> Geraldine </w:t>
      </w:r>
      <w:proofErr w:type="spellStart"/>
      <w:r w:rsidRPr="00457C91">
        <w:rPr>
          <w:rFonts w:ascii="Arial" w:eastAsia="Times New Roman" w:hAnsi="Arial" w:cs="Arial"/>
          <w:color w:val="505050"/>
          <w:highlight w:val="darkGray"/>
        </w:rPr>
        <w:t>Chatelard</w:t>
      </w:r>
      <w:proofErr w:type="spellEnd"/>
      <w:r w:rsidRPr="00457C91">
        <w:rPr>
          <w:rFonts w:ascii="Arial" w:eastAsia="Times New Roman" w:hAnsi="Arial" w:cs="Arial"/>
          <w:color w:val="505050"/>
          <w:highlight w:val="darkGray"/>
        </w:rPr>
        <w:t>, social anthropologist and historian of contemporary Middle Eastern studies.</w:t>
      </w:r>
    </w:p>
    <w:p w14:paraId="3853ED87" w14:textId="77777777" w:rsidR="00F832A1" w:rsidRPr="00F832A1" w:rsidRDefault="00F832A1" w:rsidP="00F832A1">
      <w:pPr>
        <w:spacing w:before="360" w:after="360"/>
        <w:rPr>
          <w:rFonts w:ascii="Arial" w:eastAsia="Times New Roman" w:hAnsi="Arial" w:cs="Arial"/>
          <w:color w:val="505050"/>
        </w:rPr>
      </w:pPr>
      <w:r w:rsidRPr="00F832A1">
        <w:rPr>
          <w:rFonts w:ascii="Arial" w:eastAsia="Times New Roman" w:hAnsi="Arial" w:cs="Arial"/>
          <w:color w:val="505050"/>
        </w:rPr>
        <w:t>The </w:t>
      </w:r>
      <w:hyperlink r:id="rId10" w:tgtFrame="_blank" w:history="1">
        <w:r w:rsidRPr="00F832A1">
          <w:rPr>
            <w:rFonts w:ascii="Arial" w:eastAsia="Times New Roman" w:hAnsi="Arial" w:cs="Arial"/>
            <w:b/>
            <w:bCs/>
            <w:color w:val="337AB7"/>
            <w:u w:val="single"/>
          </w:rPr>
          <w:t>EASO COI report: Iraq – Key socio-economic indicators</w:t>
        </w:r>
      </w:hyperlink>
      <w:r w:rsidRPr="00F832A1">
        <w:rPr>
          <w:rFonts w:ascii="Arial" w:eastAsia="Times New Roman" w:hAnsi="Arial" w:cs="Arial"/>
          <w:color w:val="505050"/>
        </w:rPr>
        <w:t> aims to provide information on key socio-economic indicators in Iraq </w:t>
      </w:r>
      <w:r w:rsidRPr="00F832A1">
        <w:rPr>
          <w:rFonts w:ascii="Arial" w:eastAsia="Times New Roman" w:hAnsi="Arial" w:cs="Arial"/>
          <w:b/>
          <w:bCs/>
          <w:color w:val="505050"/>
        </w:rPr>
        <w:t xml:space="preserve">focusing on </w:t>
      </w:r>
      <w:proofErr w:type="spellStart"/>
      <w:r w:rsidRPr="00F832A1">
        <w:rPr>
          <w:rFonts w:ascii="Arial" w:eastAsia="Times New Roman" w:hAnsi="Arial" w:cs="Arial"/>
          <w:b/>
          <w:bCs/>
          <w:color w:val="505050"/>
        </w:rPr>
        <w:t>Basrah</w:t>
      </w:r>
      <w:proofErr w:type="spellEnd"/>
      <w:r w:rsidRPr="00F832A1">
        <w:rPr>
          <w:rFonts w:ascii="Arial" w:eastAsia="Times New Roman" w:hAnsi="Arial" w:cs="Arial"/>
          <w:b/>
          <w:bCs/>
          <w:color w:val="505050"/>
        </w:rPr>
        <w:t>, Erbil, and Baghdad</w:t>
      </w:r>
      <w:r w:rsidRPr="00F832A1">
        <w:rPr>
          <w:rFonts w:ascii="Arial" w:eastAsia="Times New Roman" w:hAnsi="Arial" w:cs="Arial"/>
          <w:color w:val="505050"/>
        </w:rPr>
        <w:t xml:space="preserve">, and </w:t>
      </w:r>
      <w:r w:rsidRPr="00457C91">
        <w:rPr>
          <w:rFonts w:ascii="Arial" w:eastAsia="Times New Roman" w:hAnsi="Arial" w:cs="Arial"/>
          <w:color w:val="505050"/>
          <w:highlight w:val="darkGray"/>
        </w:rPr>
        <w:t>highlighting aspects of the situation of IDPs in those areas, as well as women and children. </w:t>
      </w:r>
      <w:r w:rsidRPr="00457C91">
        <w:rPr>
          <w:rFonts w:ascii="Arial" w:eastAsia="Times New Roman" w:hAnsi="Arial" w:cs="Arial"/>
          <w:b/>
          <w:bCs/>
          <w:color w:val="505050"/>
          <w:highlight w:val="darkGray"/>
        </w:rPr>
        <w:t>Relevant indicators</w:t>
      </w:r>
      <w:r w:rsidRPr="00457C91">
        <w:rPr>
          <w:rFonts w:ascii="Arial" w:eastAsia="Times New Roman" w:hAnsi="Arial" w:cs="Arial"/>
          <w:color w:val="505050"/>
          <w:highlight w:val="darkGray"/>
        </w:rPr>
        <w:t> include the general economic situation, access to employment and livelihoods, poverty, food and water security, housing and living conditions, access to health care, access to education, access to support and assistance, and the role of support networks. The report was co-drafted by the Migration Office of the Ministry of Interior of the Slovak Republic (Department of Documentation and Foreign Cooperation) together with the EASO COI Sector in accordance with the </w:t>
      </w:r>
      <w:hyperlink r:id="rId11" w:tgtFrame="_blank" w:history="1">
        <w:r w:rsidRPr="00457C91">
          <w:rPr>
            <w:rFonts w:ascii="Arial" w:eastAsia="Times New Roman" w:hAnsi="Arial" w:cs="Arial"/>
            <w:color w:val="337AB7"/>
            <w:highlight w:val="darkGray"/>
            <w:u w:val="single"/>
          </w:rPr>
          <w:t>EASO COI Report Methodology</w:t>
        </w:r>
      </w:hyperlink>
      <w:r w:rsidRPr="00457C91">
        <w:rPr>
          <w:rFonts w:ascii="Arial" w:eastAsia="Times New Roman" w:hAnsi="Arial" w:cs="Arial"/>
          <w:color w:val="505050"/>
          <w:highlight w:val="darkGray"/>
        </w:rPr>
        <w:t>. It was also reviewed by the Estonian Police and Border Guard Board, the Hungarian Immigration and Asylum Office’s Centre for Documentation, and </w:t>
      </w:r>
      <w:proofErr w:type="spellStart"/>
      <w:r w:rsidRPr="00457C91">
        <w:rPr>
          <w:rFonts w:ascii="Arial" w:eastAsia="Times New Roman" w:hAnsi="Arial" w:cs="Arial"/>
          <w:color w:val="505050"/>
          <w:highlight w:val="darkGray"/>
        </w:rPr>
        <w:t>Dr</w:t>
      </w:r>
      <w:proofErr w:type="spellEnd"/>
      <w:r w:rsidRPr="00457C91">
        <w:rPr>
          <w:rFonts w:ascii="Arial" w:eastAsia="Times New Roman" w:hAnsi="Arial" w:cs="Arial"/>
          <w:color w:val="505050"/>
          <w:highlight w:val="darkGray"/>
        </w:rPr>
        <w:t xml:space="preserve"> Geraldine </w:t>
      </w:r>
      <w:proofErr w:type="spellStart"/>
      <w:r w:rsidRPr="00457C91">
        <w:rPr>
          <w:rFonts w:ascii="Arial" w:eastAsia="Times New Roman" w:hAnsi="Arial" w:cs="Arial"/>
          <w:color w:val="505050"/>
          <w:highlight w:val="darkGray"/>
        </w:rPr>
        <w:t>Chatelard</w:t>
      </w:r>
      <w:proofErr w:type="spellEnd"/>
      <w:r w:rsidRPr="00457C91">
        <w:rPr>
          <w:rFonts w:ascii="Arial" w:eastAsia="Times New Roman" w:hAnsi="Arial" w:cs="Arial"/>
          <w:color w:val="505050"/>
          <w:highlight w:val="darkGray"/>
        </w:rPr>
        <w:t>.</w:t>
      </w:r>
      <w:bookmarkStart w:id="0" w:name="_GoBack"/>
      <w:bookmarkEnd w:id="0"/>
    </w:p>
    <w:p w14:paraId="28270E1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876FC"/>
    <w:multiLevelType w:val="multilevel"/>
    <w:tmpl w:val="D24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02"/>
    <w:rsid w:val="00453EED"/>
    <w:rsid w:val="00457C91"/>
    <w:rsid w:val="004C0E02"/>
    <w:rsid w:val="00BE080D"/>
    <w:rsid w:val="00F8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BCAF8"/>
  <w14:defaultImageDpi w14:val="32767"/>
  <w15:chartTrackingRefBased/>
  <w15:docId w15:val="{64B0328C-ADBB-A542-879C-1C7D56C1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832A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2A1"/>
    <w:rPr>
      <w:rFonts w:ascii="Times New Roman" w:eastAsia="Times New Roman" w:hAnsi="Times New Roman" w:cs="Times New Roman"/>
      <w:b/>
      <w:bCs/>
      <w:kern w:val="36"/>
      <w:sz w:val="48"/>
      <w:szCs w:val="48"/>
    </w:rPr>
  </w:style>
  <w:style w:type="paragraph" w:customStyle="1" w:styleId="Date1">
    <w:name w:val="Date1"/>
    <w:basedOn w:val="Normal"/>
    <w:rsid w:val="00F832A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832A1"/>
  </w:style>
  <w:style w:type="paragraph" w:styleId="NormalWeb">
    <w:name w:val="Normal (Web)"/>
    <w:basedOn w:val="Normal"/>
    <w:uiPriority w:val="99"/>
    <w:semiHidden/>
    <w:unhideWhenUsed/>
    <w:rsid w:val="00F832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32A1"/>
    <w:rPr>
      <w:b/>
      <w:bCs/>
    </w:rPr>
  </w:style>
  <w:style w:type="character" w:styleId="Emphasis">
    <w:name w:val="Emphasis"/>
    <w:basedOn w:val="DefaultParagraphFont"/>
    <w:uiPriority w:val="20"/>
    <w:qFormat/>
    <w:rsid w:val="00F832A1"/>
    <w:rPr>
      <w:i/>
      <w:iCs/>
    </w:rPr>
  </w:style>
  <w:style w:type="character" w:styleId="Hyperlink">
    <w:name w:val="Hyperlink"/>
    <w:basedOn w:val="DefaultParagraphFont"/>
    <w:uiPriority w:val="99"/>
    <w:semiHidden/>
    <w:unhideWhenUsed/>
    <w:rsid w:val="00F83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95316">
      <w:bodyDiv w:val="1"/>
      <w:marLeft w:val="0"/>
      <w:marRight w:val="0"/>
      <w:marTop w:val="0"/>
      <w:marBottom w:val="0"/>
      <w:divBdr>
        <w:top w:val="none" w:sz="0" w:space="0" w:color="auto"/>
        <w:left w:val="none" w:sz="0" w:space="0" w:color="auto"/>
        <w:bottom w:val="none" w:sz="0" w:space="0" w:color="auto"/>
        <w:right w:val="none" w:sz="0" w:space="0" w:color="auto"/>
      </w:divBdr>
      <w:divsChild>
        <w:div w:id="37971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Iraq-Internal_Mobilit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i.easo.europa.eu/administration/easo/PLib/Iraq_key_socio-economic_indicator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Iraq-Internal_Mobility.pdf" TargetMode="External"/><Relationship Id="rId11" Type="http://schemas.openxmlformats.org/officeDocument/2006/relationships/hyperlink" Target="https://coi.easo.europa.eu/administration/easo/PLib/EASO_COI_Report_Methodology.pdf" TargetMode="External"/><Relationship Id="rId5" Type="http://schemas.openxmlformats.org/officeDocument/2006/relationships/image" Target="media/image1.jpeg"/><Relationship Id="rId10" Type="http://schemas.openxmlformats.org/officeDocument/2006/relationships/hyperlink" Target="https://coi.easo.europa.eu/administration/easo/PLib/Iraq_key_socio-economic_indicators.pdf" TargetMode="External"/><Relationship Id="rId4" Type="http://schemas.openxmlformats.org/officeDocument/2006/relationships/webSettings" Target="webSettings.xml"/><Relationship Id="rId9" Type="http://schemas.openxmlformats.org/officeDocument/2006/relationships/hyperlink" Target="https://coi.easo.europa.eu/administration/easo/PLib/EASO_COI_Report_Method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2020-02-23T13:57:00Z</dcterms:created>
  <dcterms:modified xsi:type="dcterms:W3CDTF">2020-04-12T16:41:00Z</dcterms:modified>
</cp:coreProperties>
</file>