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FF67F" w14:textId="77777777" w:rsidR="002A20C4" w:rsidRPr="002A20C4" w:rsidRDefault="002A20C4" w:rsidP="002A20C4">
      <w:pPr>
        <w:spacing w:line="360" w:lineRule="atLeast"/>
        <w:outlineLvl w:val="0"/>
        <w:rPr>
          <w:rFonts w:ascii="Arial" w:eastAsia="Times New Roman" w:hAnsi="Arial" w:cs="Arial"/>
          <w:color w:val="505050"/>
          <w:kern w:val="36"/>
          <w:sz w:val="48"/>
          <w:szCs w:val="48"/>
        </w:rPr>
      </w:pPr>
      <w:r w:rsidRPr="002A20C4">
        <w:rPr>
          <w:rFonts w:ascii="Arial" w:eastAsia="Times New Roman" w:hAnsi="Arial" w:cs="Arial"/>
          <w:color w:val="505050"/>
          <w:kern w:val="36"/>
          <w:sz w:val="48"/>
          <w:szCs w:val="48"/>
        </w:rPr>
        <w:t>EU asylum figures 2018: Applications return to 2014 levels, decreasing by 10% over previous year</w:t>
      </w:r>
    </w:p>
    <w:p w14:paraId="65903CE7" w14:textId="77777777" w:rsidR="002A20C4" w:rsidRPr="002A20C4" w:rsidRDefault="002A20C4" w:rsidP="002A20C4">
      <w:pPr>
        <w:numPr>
          <w:ilvl w:val="0"/>
          <w:numId w:val="1"/>
        </w:numPr>
        <w:spacing w:before="100" w:beforeAutospacing="1" w:after="100" w:afterAutospacing="1"/>
        <w:ind w:left="0" w:right="150"/>
        <w:rPr>
          <w:rFonts w:ascii="Arial" w:eastAsia="Times New Roman" w:hAnsi="Arial" w:cs="Arial"/>
          <w:caps/>
          <w:color w:val="C2C2C2"/>
          <w:sz w:val="17"/>
          <w:szCs w:val="17"/>
        </w:rPr>
      </w:pPr>
      <w:r w:rsidRPr="002A20C4">
        <w:rPr>
          <w:rFonts w:ascii="Arial" w:eastAsia="Times New Roman" w:hAnsi="Arial" w:cs="Arial"/>
          <w:caps/>
          <w:color w:val="C2C2C2"/>
          <w:sz w:val="17"/>
          <w:szCs w:val="17"/>
        </w:rPr>
        <w:t xml:space="preserve"> 13TH FEBRUARY 2019 </w:t>
      </w:r>
    </w:p>
    <w:p w14:paraId="697D50CB" w14:textId="0F0D4E65" w:rsidR="002A20C4" w:rsidRPr="002A20C4" w:rsidRDefault="002A20C4" w:rsidP="002A20C4">
      <w:pPr>
        <w:rPr>
          <w:rFonts w:ascii="Times New Roman" w:eastAsia="Times New Roman" w:hAnsi="Times New Roman" w:cs="Times New Roman"/>
        </w:rPr>
      </w:pPr>
      <w:r w:rsidRPr="002A20C4">
        <w:rPr>
          <w:rFonts w:ascii="Times New Roman" w:eastAsia="Times New Roman" w:hAnsi="Times New Roman" w:cs="Times New Roman"/>
        </w:rPr>
        <w:fldChar w:fldCharType="begin"/>
      </w:r>
      <w:r w:rsidRPr="002A20C4">
        <w:rPr>
          <w:rFonts w:ascii="Times New Roman" w:eastAsia="Times New Roman" w:hAnsi="Times New Roman" w:cs="Times New Roman"/>
        </w:rPr>
        <w:instrText xml:space="preserve"> INCLUDEPICTURE "/var/folders/nj/m875g2tj2j50hjqpdb11s_540000gn/T/com.microsoft.Word/WebArchiveCopyPasteTempFiles/pScene%2002.00_00_07_08.Still001.jpg?itok=FNp8Lbaf);" \* MERGEFORMATINET </w:instrText>
      </w:r>
      <w:r w:rsidRPr="002A20C4">
        <w:rPr>
          <w:rFonts w:ascii="Times New Roman" w:eastAsia="Times New Roman" w:hAnsi="Times New Roman" w:cs="Times New Roman"/>
        </w:rPr>
        <w:fldChar w:fldCharType="separate"/>
      </w:r>
      <w:r w:rsidRPr="002A20C4">
        <w:rPr>
          <w:rFonts w:ascii="Times New Roman" w:eastAsia="Times New Roman" w:hAnsi="Times New Roman" w:cs="Times New Roman"/>
          <w:noProof/>
        </w:rPr>
        <w:drawing>
          <wp:inline distT="0" distB="0" distL="0" distR="0" wp14:anchorId="1FA37443" wp14:editId="51DFBAC7">
            <wp:extent cx="5943600" cy="3347085"/>
            <wp:effectExtent l="0" t="0" r="0" b="5715"/>
            <wp:docPr id="1" name="Picture 1" descr="/var/folders/nj/m875g2tj2j50hjqpdb11s_540000gn/T/com.microsoft.Word/WebArchiveCopyPasteTempFiles/pScene%2002.00_00_07_08.Still001.jpg?itok=FNp8Lb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pScene%2002.00_00_07_08.Still001.jpg?itok=FNp8Lba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r w:rsidRPr="002A20C4">
        <w:rPr>
          <w:rFonts w:ascii="Times New Roman" w:eastAsia="Times New Roman" w:hAnsi="Times New Roman" w:cs="Times New Roman"/>
        </w:rPr>
        <w:fldChar w:fldCharType="end"/>
      </w:r>
    </w:p>
    <w:p w14:paraId="079164A6" w14:textId="77777777" w:rsidR="002A20C4" w:rsidRPr="002A20C4" w:rsidRDefault="002A20C4" w:rsidP="002A20C4">
      <w:pPr>
        <w:spacing w:before="360" w:after="360"/>
        <w:rPr>
          <w:rFonts w:ascii="Arial" w:eastAsia="Times New Roman" w:hAnsi="Arial" w:cs="Arial"/>
          <w:color w:val="505050"/>
        </w:rPr>
      </w:pPr>
      <w:r w:rsidRPr="002A20C4">
        <w:rPr>
          <w:rFonts w:ascii="Arial" w:eastAsia="Times New Roman" w:hAnsi="Arial" w:cs="Arial"/>
          <w:b/>
          <w:bCs/>
          <w:i/>
          <w:iCs/>
          <w:color w:val="505050"/>
        </w:rPr>
        <w:t>The European Asylum Support Office (EASO) has published its </w:t>
      </w:r>
      <w:hyperlink r:id="rId6" w:tgtFrame="_blank" w:history="1">
        <w:r w:rsidRPr="002A20C4">
          <w:rPr>
            <w:rFonts w:ascii="Arial" w:eastAsia="Times New Roman" w:hAnsi="Arial" w:cs="Arial"/>
            <w:b/>
            <w:bCs/>
            <w:i/>
            <w:iCs/>
            <w:color w:val="337AB7"/>
            <w:u w:val="single"/>
          </w:rPr>
          <w:t>2018 asylum trends overview</w:t>
        </w:r>
      </w:hyperlink>
      <w:r w:rsidRPr="002A20C4">
        <w:rPr>
          <w:rFonts w:ascii="Arial" w:eastAsia="Times New Roman" w:hAnsi="Arial" w:cs="Arial"/>
          <w:b/>
          <w:bCs/>
          <w:i/>
          <w:iCs/>
          <w:color w:val="505050"/>
        </w:rPr>
        <w:t>. Data shows a lower recognition rate of applications (34% compared to 40% in 2017) and pending cases at less than half of the peak recorded in autumn 2016. While overall applications continued to fall in 2018, citizens from Iran, Turkey, and several visa-liberalised countries lodged more applications than in 2017. </w:t>
      </w:r>
    </w:p>
    <w:p w14:paraId="6FCEF32B" w14:textId="77777777" w:rsidR="002A20C4" w:rsidRPr="002A20C4" w:rsidRDefault="002A20C4" w:rsidP="002A20C4">
      <w:pPr>
        <w:spacing w:before="360" w:after="360"/>
        <w:rPr>
          <w:rFonts w:ascii="Arial" w:eastAsia="Times New Roman" w:hAnsi="Arial" w:cs="Arial"/>
          <w:color w:val="505050"/>
        </w:rPr>
      </w:pPr>
      <w:r w:rsidRPr="002A20C4">
        <w:rPr>
          <w:rFonts w:ascii="Arial" w:eastAsia="Times New Roman" w:hAnsi="Arial" w:cs="Arial"/>
          <w:color w:val="505050"/>
        </w:rPr>
        <w:t>For a third consecutive year, 2018 saw a decrease in applications for international protection in the EU+ following the migration crisis of 2015. The </w:t>
      </w:r>
      <w:r w:rsidRPr="002A20C4">
        <w:rPr>
          <w:rFonts w:ascii="Arial" w:eastAsia="Times New Roman" w:hAnsi="Arial" w:cs="Arial"/>
          <w:b/>
          <w:bCs/>
          <w:color w:val="505050"/>
        </w:rPr>
        <w:t>634,700 applications lodged</w:t>
      </w:r>
      <w:r w:rsidRPr="002A20C4">
        <w:rPr>
          <w:rFonts w:ascii="Arial" w:eastAsia="Times New Roman" w:hAnsi="Arial" w:cs="Arial"/>
          <w:color w:val="505050"/>
        </w:rPr>
        <w:t> were 10% fewer than in 2017, and similar to the level of 2014. The decrease registered in 2018 follows a significant </w:t>
      </w:r>
      <w:hyperlink r:id="rId7" w:tgtFrame="_blank" w:history="1">
        <w:r w:rsidRPr="002A20C4">
          <w:rPr>
            <w:rFonts w:ascii="Arial" w:eastAsia="Times New Roman" w:hAnsi="Arial" w:cs="Arial"/>
            <w:color w:val="337AB7"/>
            <w:u w:val="single"/>
          </w:rPr>
          <w:t>44% decline in applications in 2017</w:t>
        </w:r>
      </w:hyperlink>
      <w:r w:rsidRPr="002A20C4">
        <w:rPr>
          <w:rFonts w:ascii="Arial" w:eastAsia="Times New Roman" w:hAnsi="Arial" w:cs="Arial"/>
          <w:color w:val="505050"/>
        </w:rPr>
        <w:t> over the previous year.</w:t>
      </w:r>
    </w:p>
    <w:p w14:paraId="7153A1AB" w14:textId="77777777" w:rsidR="002A20C4" w:rsidRPr="002A20C4" w:rsidRDefault="002A20C4" w:rsidP="002A20C4">
      <w:pPr>
        <w:spacing w:before="360" w:after="360"/>
        <w:rPr>
          <w:rFonts w:ascii="Arial" w:eastAsia="Times New Roman" w:hAnsi="Arial" w:cs="Arial"/>
          <w:color w:val="505050"/>
        </w:rPr>
      </w:pPr>
      <w:r w:rsidRPr="002A20C4">
        <w:rPr>
          <w:rFonts w:ascii="Arial" w:eastAsia="Times New Roman" w:hAnsi="Arial" w:cs="Arial"/>
          <w:color w:val="505050"/>
        </w:rPr>
        <w:t>Syria remained the top country of origin for applicants, but with 25% fewer applications than in the previous year. More than one-in-ten of all applicants was a Syrian national, compared to 2015-2016, when Syrians made up more than one-in-four applicants.  Afghanistan and Iraq completed the top three countries of origin in 2018.</w:t>
      </w:r>
    </w:p>
    <w:p w14:paraId="306E1070" w14:textId="77777777" w:rsidR="002A20C4" w:rsidRPr="002A20C4" w:rsidRDefault="002A20C4" w:rsidP="002A20C4">
      <w:pPr>
        <w:spacing w:before="360" w:after="360"/>
        <w:rPr>
          <w:rFonts w:ascii="Arial" w:eastAsia="Times New Roman" w:hAnsi="Arial" w:cs="Arial"/>
          <w:color w:val="505050"/>
        </w:rPr>
      </w:pPr>
      <w:r w:rsidRPr="002A20C4">
        <w:rPr>
          <w:rFonts w:ascii="Arial" w:eastAsia="Times New Roman" w:hAnsi="Arial" w:cs="Arial"/>
          <w:color w:val="505050"/>
        </w:rPr>
        <w:lastRenderedPageBreak/>
        <w:t>Despite the overall decrease in applications, several citizenships lodged more applications than in the previous year. Georgian, Turkish and Venezuelan applicants increased for the second year in a row. Large increases also took place in 2018 for applicants from Colombia, Palestine, and Iran. In 2018, close to one fifth of all applications were lodged by nationals from countries exempt from visa requirements to enter the Schengen Area, including Venezuelans, Colombians, Georgians. This was a much higher share than in previous years.</w:t>
      </w:r>
    </w:p>
    <w:p w14:paraId="09796126" w14:textId="77777777" w:rsidR="002A20C4" w:rsidRPr="002A20C4" w:rsidRDefault="002A20C4" w:rsidP="002A20C4">
      <w:pPr>
        <w:spacing w:before="360" w:after="360"/>
        <w:rPr>
          <w:rFonts w:ascii="Arial" w:eastAsia="Times New Roman" w:hAnsi="Arial" w:cs="Arial"/>
          <w:color w:val="505050"/>
        </w:rPr>
      </w:pPr>
      <w:r w:rsidRPr="002A20C4">
        <w:rPr>
          <w:rFonts w:ascii="Arial" w:eastAsia="Times New Roman" w:hAnsi="Arial" w:cs="Arial"/>
          <w:color w:val="505050"/>
        </w:rPr>
        <w:t>EU+ countries jointly issued 593,500 first-instance decisions, 40% fewer than in 2017, but still considerably more than during the pre-crisis period. One-in-three decisions made in 2018 was positive, granting either refugee status or subsidiary protection. This compares to a recognition rate of 40% in 2017. Nationals of Syria, Yemen and Eritrea had the highest recognition rates, whereas the lowest shares of positive decisions were for Georgians and Gambians.</w:t>
      </w:r>
    </w:p>
    <w:p w14:paraId="109094B9" w14:textId="77777777" w:rsidR="002A20C4" w:rsidRPr="002A20C4" w:rsidRDefault="002A20C4" w:rsidP="002A20C4">
      <w:pPr>
        <w:spacing w:before="360" w:after="360"/>
        <w:rPr>
          <w:rFonts w:ascii="Arial" w:eastAsia="Times New Roman" w:hAnsi="Arial" w:cs="Arial"/>
          <w:color w:val="505050"/>
        </w:rPr>
      </w:pPr>
      <w:r w:rsidRPr="002A20C4">
        <w:rPr>
          <w:rFonts w:ascii="Arial" w:eastAsia="Times New Roman" w:hAnsi="Arial" w:cs="Arial"/>
          <w:color w:val="505050"/>
        </w:rPr>
        <w:t>The number of applications lodged and awaiting a decision in first-instance continued to decline, but only modestly. Only some 26,500 fewer cases were pending at the end of 2018 than at the end of 2017. The stock of pending cases reached 448,300 at the end of 2018, compared to autumn 2016 when it exceeded the one-million mark.</w:t>
      </w:r>
    </w:p>
    <w:p w14:paraId="15A62D3D" w14:textId="77777777" w:rsidR="002A20C4" w:rsidRPr="002A20C4" w:rsidRDefault="002A20C4" w:rsidP="002A20C4">
      <w:pPr>
        <w:spacing w:before="360" w:after="360"/>
        <w:rPr>
          <w:rFonts w:ascii="Arial" w:eastAsia="Times New Roman" w:hAnsi="Arial" w:cs="Arial"/>
          <w:color w:val="505050"/>
        </w:rPr>
      </w:pPr>
      <w:r w:rsidRPr="002A20C4">
        <w:rPr>
          <w:rFonts w:ascii="Arial" w:eastAsia="Times New Roman" w:hAnsi="Arial" w:cs="Arial"/>
          <w:color w:val="505050"/>
        </w:rPr>
        <w:t>More information can be found at the following links:</w:t>
      </w:r>
    </w:p>
    <w:p w14:paraId="23224132" w14:textId="77777777" w:rsidR="002A20C4" w:rsidRPr="002A20C4" w:rsidRDefault="002A20C4" w:rsidP="002A20C4">
      <w:pPr>
        <w:numPr>
          <w:ilvl w:val="0"/>
          <w:numId w:val="2"/>
        </w:numPr>
        <w:spacing w:before="100" w:beforeAutospacing="1" w:after="100" w:afterAutospacing="1"/>
        <w:ind w:left="0"/>
        <w:rPr>
          <w:rFonts w:ascii="Arial" w:eastAsia="Times New Roman" w:hAnsi="Arial" w:cs="Arial"/>
          <w:color w:val="505050"/>
        </w:rPr>
      </w:pPr>
      <w:hyperlink r:id="rId8" w:tgtFrame="_blank" w:history="1">
        <w:r w:rsidRPr="002A20C4">
          <w:rPr>
            <w:rFonts w:ascii="Arial" w:eastAsia="Times New Roman" w:hAnsi="Arial" w:cs="Arial"/>
            <w:b/>
            <w:bCs/>
            <w:color w:val="337AB7"/>
          </w:rPr>
          <w:t>EU+ asylum trends - 2018 overview</w:t>
        </w:r>
      </w:hyperlink>
    </w:p>
    <w:p w14:paraId="742BF24E" w14:textId="77777777" w:rsidR="002A20C4" w:rsidRPr="002A20C4" w:rsidRDefault="002A20C4" w:rsidP="002A20C4">
      <w:pPr>
        <w:numPr>
          <w:ilvl w:val="0"/>
          <w:numId w:val="2"/>
        </w:numPr>
        <w:spacing w:before="100" w:beforeAutospacing="1" w:after="100" w:afterAutospacing="1"/>
        <w:ind w:left="0"/>
        <w:rPr>
          <w:rFonts w:ascii="Arial" w:eastAsia="Times New Roman" w:hAnsi="Arial" w:cs="Arial"/>
          <w:color w:val="505050"/>
        </w:rPr>
      </w:pPr>
      <w:hyperlink r:id="rId9" w:tgtFrame="_blank" w:history="1">
        <w:r w:rsidRPr="002A20C4">
          <w:rPr>
            <w:rFonts w:ascii="Arial" w:eastAsia="Times New Roman" w:hAnsi="Arial" w:cs="Arial"/>
            <w:b/>
            <w:bCs/>
            <w:color w:val="337AB7"/>
          </w:rPr>
          <w:t>Key findings</w:t>
        </w:r>
      </w:hyperlink>
    </w:p>
    <w:p w14:paraId="54FB7DB1" w14:textId="77777777" w:rsidR="002A20C4" w:rsidRPr="002A20C4" w:rsidRDefault="002A20C4" w:rsidP="002A20C4">
      <w:pPr>
        <w:numPr>
          <w:ilvl w:val="0"/>
          <w:numId w:val="2"/>
        </w:numPr>
        <w:spacing w:before="100" w:beforeAutospacing="1" w:after="100" w:afterAutospacing="1"/>
        <w:ind w:left="0"/>
        <w:rPr>
          <w:rFonts w:ascii="Arial" w:eastAsia="Times New Roman" w:hAnsi="Arial" w:cs="Arial"/>
          <w:color w:val="505050"/>
        </w:rPr>
      </w:pPr>
      <w:hyperlink r:id="rId10" w:tgtFrame="_blank" w:history="1">
        <w:r w:rsidRPr="002A20C4">
          <w:rPr>
            <w:rFonts w:ascii="Arial" w:eastAsia="Times New Roman" w:hAnsi="Arial" w:cs="Arial"/>
            <w:b/>
            <w:bCs/>
            <w:color w:val="337AB7"/>
          </w:rPr>
          <w:t>Interactive visualisation</w:t>
        </w:r>
      </w:hyperlink>
    </w:p>
    <w:p w14:paraId="3E4CB0BB"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42B0C"/>
    <w:multiLevelType w:val="multilevel"/>
    <w:tmpl w:val="539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921A5"/>
    <w:multiLevelType w:val="multilevel"/>
    <w:tmpl w:val="C9A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24"/>
    <w:rsid w:val="00211524"/>
    <w:rsid w:val="002A20C4"/>
    <w:rsid w:val="00453EE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EA6919"/>
  <w14:defaultImageDpi w14:val="32767"/>
  <w15:chartTrackingRefBased/>
  <w15:docId w15:val="{4A1F35CC-BB41-0343-97AB-1E96BC37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A20C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C4"/>
    <w:rPr>
      <w:rFonts w:ascii="Times New Roman" w:eastAsia="Times New Roman" w:hAnsi="Times New Roman" w:cs="Times New Roman"/>
      <w:b/>
      <w:bCs/>
      <w:kern w:val="36"/>
      <w:sz w:val="48"/>
      <w:szCs w:val="48"/>
    </w:rPr>
  </w:style>
  <w:style w:type="paragraph" w:customStyle="1" w:styleId="date">
    <w:name w:val="date"/>
    <w:basedOn w:val="Normal"/>
    <w:rsid w:val="002A20C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A20C4"/>
  </w:style>
  <w:style w:type="paragraph" w:styleId="NormalWeb">
    <w:name w:val="Normal (Web)"/>
    <w:basedOn w:val="Normal"/>
    <w:uiPriority w:val="99"/>
    <w:semiHidden/>
    <w:unhideWhenUsed/>
    <w:rsid w:val="002A20C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A20C4"/>
    <w:rPr>
      <w:b/>
      <w:bCs/>
    </w:rPr>
  </w:style>
  <w:style w:type="character" w:styleId="Emphasis">
    <w:name w:val="Emphasis"/>
    <w:basedOn w:val="DefaultParagraphFont"/>
    <w:uiPriority w:val="20"/>
    <w:qFormat/>
    <w:rsid w:val="002A20C4"/>
    <w:rPr>
      <w:i/>
      <w:iCs/>
    </w:rPr>
  </w:style>
  <w:style w:type="character" w:styleId="Hyperlink">
    <w:name w:val="Hyperlink"/>
    <w:basedOn w:val="DefaultParagraphFont"/>
    <w:uiPriority w:val="99"/>
    <w:semiHidden/>
    <w:unhideWhenUsed/>
    <w:rsid w:val="002A20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453920">
      <w:bodyDiv w:val="1"/>
      <w:marLeft w:val="0"/>
      <w:marRight w:val="0"/>
      <w:marTop w:val="0"/>
      <w:marBottom w:val="0"/>
      <w:divBdr>
        <w:top w:val="none" w:sz="0" w:space="0" w:color="auto"/>
        <w:left w:val="none" w:sz="0" w:space="0" w:color="auto"/>
        <w:bottom w:val="none" w:sz="0" w:space="0" w:color="auto"/>
        <w:right w:val="none" w:sz="0" w:space="0" w:color="auto"/>
      </w:divBdr>
      <w:divsChild>
        <w:div w:id="998264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o.europa.eu/sites/default/files/EASO-2018-EU-Asylum-Trends-Overview.pdf" TargetMode="External"/><Relationship Id="rId3" Type="http://schemas.openxmlformats.org/officeDocument/2006/relationships/settings" Target="settings.xml"/><Relationship Id="rId7" Type="http://schemas.openxmlformats.org/officeDocument/2006/relationships/hyperlink" Target="https://www.easo.europa.eu/news-events/asylum-eu-consolidates-recovery-2015-2016-migration-crisis-significant-decre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o.europa.eu/asylum-trends-overview-2018"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easo.europa.eu/asylum-trends-overview-2018" TargetMode="External"/><Relationship Id="rId4" Type="http://schemas.openxmlformats.org/officeDocument/2006/relationships/webSettings" Target="webSettings.xml"/><Relationship Id="rId9" Type="http://schemas.openxmlformats.org/officeDocument/2006/relationships/hyperlink" Target="https://www.easo.europa.eu/sites/default/files/2018-EU-Asylum-Trends-Key-Find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2020-02-23T13:56:00Z</dcterms:created>
  <dcterms:modified xsi:type="dcterms:W3CDTF">2020-02-23T13:59:00Z</dcterms:modified>
</cp:coreProperties>
</file>