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F5BFB" w14:textId="65B8D0BC" w:rsidR="003F69A9" w:rsidRPr="003F69A9" w:rsidRDefault="00EC14E1" w:rsidP="003F69A9">
      <w:pPr>
        <w:spacing w:before="450" w:after="375"/>
        <w:outlineLvl w:val="1"/>
        <w:rPr>
          <w:rFonts w:ascii="Helvetica" w:eastAsia="Times New Roman" w:hAnsi="Helvetica" w:cs="Times New Roman"/>
          <w:color w:val="133850"/>
          <w:sz w:val="30"/>
          <w:szCs w:val="30"/>
        </w:rPr>
      </w:pPr>
      <w:r>
        <w:rPr>
          <w:rFonts w:ascii="Helvetica" w:eastAsia="Times New Roman" w:hAnsi="Helvetica" w:cs="Times New Roman"/>
          <w:color w:val="133850"/>
          <w:sz w:val="30"/>
          <w:szCs w:val="30"/>
        </w:rPr>
        <w:t>E</w:t>
      </w:r>
      <w:r w:rsidR="003F69A9" w:rsidRPr="003F69A9">
        <w:rPr>
          <w:rFonts w:ascii="Helvetica" w:eastAsia="Times New Roman" w:hAnsi="Helvetica" w:cs="Times New Roman"/>
          <w:color w:val="133850"/>
          <w:sz w:val="30"/>
          <w:szCs w:val="30"/>
        </w:rPr>
        <w:t>BA updates the estimates of the impact of the implementation of Basel III and provides an assessment of its effect on the EU economy </w:t>
      </w:r>
    </w:p>
    <w:p w14:paraId="6C089934" w14:textId="77777777" w:rsidR="003F69A9" w:rsidRPr="003F69A9" w:rsidRDefault="003F69A9" w:rsidP="003F69A9">
      <w:pPr>
        <w:spacing w:after="150"/>
        <w:rPr>
          <w:rFonts w:ascii="Helvetica" w:eastAsia="Times New Roman" w:hAnsi="Helvetica" w:cs="Times New Roman"/>
          <w:color w:val="8199A8"/>
          <w:sz w:val="20"/>
          <w:szCs w:val="20"/>
        </w:rPr>
      </w:pPr>
      <w:r w:rsidRPr="003F69A9">
        <w:rPr>
          <w:rFonts w:ascii="Helvetica" w:eastAsia="Times New Roman" w:hAnsi="Helvetica" w:cs="Times New Roman"/>
          <w:color w:val="8199A8"/>
          <w:sz w:val="20"/>
          <w:szCs w:val="20"/>
        </w:rPr>
        <w:t>04 December 2019</w:t>
      </w:r>
    </w:p>
    <w:p w14:paraId="20EA44BF" w14:textId="77777777" w:rsidR="003F69A9" w:rsidRPr="003F69A9" w:rsidRDefault="003F69A9" w:rsidP="003F69A9">
      <w:pPr>
        <w:spacing w:after="150"/>
        <w:rPr>
          <w:rFonts w:ascii="Helvetica" w:eastAsia="Times New Roman" w:hAnsi="Helvetica" w:cs="Times New Roman"/>
          <w:color w:val="133850"/>
          <w:sz w:val="20"/>
          <w:szCs w:val="20"/>
        </w:rPr>
      </w:pPr>
      <w:r w:rsidRPr="00755F2B">
        <w:rPr>
          <w:rFonts w:ascii="Helvetica" w:eastAsia="Times New Roman" w:hAnsi="Helvetica" w:cs="Times New Roman"/>
          <w:b/>
          <w:bCs/>
          <w:color w:val="133850"/>
          <w:sz w:val="20"/>
          <w:szCs w:val="20"/>
          <w:highlight w:val="lightGray"/>
        </w:rPr>
        <w:t>The European Banking Authority (EBA) published today the second part of its advice on the implementation of Basel III in the EU, which complements the Report published on 5 August 2019.</w:t>
      </w:r>
      <w:r w:rsidRPr="003F69A9">
        <w:rPr>
          <w:rFonts w:ascii="Helvetica" w:eastAsia="Times New Roman" w:hAnsi="Helvetica" w:cs="Times New Roman"/>
          <w:b/>
          <w:bCs/>
          <w:color w:val="133850"/>
          <w:sz w:val="20"/>
          <w:szCs w:val="20"/>
        </w:rPr>
        <w:t xml:space="preserve"> </w:t>
      </w:r>
      <w:r w:rsidRPr="00755F2B">
        <w:rPr>
          <w:rFonts w:ascii="Helvetica" w:eastAsia="Times New Roman" w:hAnsi="Helvetica" w:cs="Times New Roman"/>
          <w:b/>
          <w:bCs/>
          <w:color w:val="133850"/>
          <w:sz w:val="20"/>
          <w:szCs w:val="20"/>
          <w:highlight w:val="darkGray"/>
        </w:rPr>
        <w:t>Today’s publication includes an assessment of the impact of the revisions to the credit valuation adjustment (CVA) and market risk frameworks, and the corresponding policy recommendations. It also provides a macroeconomic impact assessment of the full Basel III package. When accounting for the 2019 FRTB standards, the impact assessment shows that the full implementation of Basel III, under conservative assumptions, will increase the current minimum capital requirement (MRC) by 23.6% on average. This impact is lower than the 24.4% originally estimated in the August 2019 report, and would imply an aggregate shortfall in total capital of EUR 124.8 billion. The macroeconomic impact assessment shows that the implementation of Basel III will have net benefits for the economy of the European Union. The EBA reaffirms its support for a full implementation of the final Basel III standards in the EU.</w:t>
      </w:r>
    </w:p>
    <w:p w14:paraId="565C19BE" w14:textId="77777777" w:rsidR="003F69A9" w:rsidRPr="00755F2B" w:rsidRDefault="003F69A9" w:rsidP="003F69A9">
      <w:pPr>
        <w:spacing w:after="150"/>
        <w:rPr>
          <w:rFonts w:ascii="Helvetica" w:eastAsia="Times New Roman" w:hAnsi="Helvetica" w:cs="Times New Roman"/>
          <w:color w:val="133850"/>
          <w:sz w:val="20"/>
          <w:szCs w:val="20"/>
          <w:highlight w:val="darkGray"/>
        </w:rPr>
      </w:pPr>
      <w:r w:rsidRPr="00755F2B">
        <w:rPr>
          <w:rFonts w:ascii="Helvetica" w:eastAsia="Times New Roman" w:hAnsi="Helvetica" w:cs="Times New Roman"/>
          <w:b/>
          <w:bCs/>
          <w:color w:val="133850"/>
          <w:sz w:val="20"/>
          <w:szCs w:val="20"/>
          <w:highlight w:val="darkGray"/>
        </w:rPr>
        <w:t>Key findings of the quantitative analysis</w:t>
      </w:r>
    </w:p>
    <w:p w14:paraId="26547D5E" w14:textId="77777777" w:rsidR="003F69A9" w:rsidRPr="003F69A9" w:rsidRDefault="003F69A9" w:rsidP="003F69A9">
      <w:pPr>
        <w:spacing w:after="150"/>
        <w:rPr>
          <w:rFonts w:ascii="Helvetica" w:eastAsia="Times New Roman" w:hAnsi="Helvetica" w:cs="Times New Roman"/>
          <w:color w:val="133850"/>
          <w:sz w:val="20"/>
          <w:szCs w:val="20"/>
        </w:rPr>
      </w:pPr>
      <w:r w:rsidRPr="00755F2B">
        <w:rPr>
          <w:rFonts w:ascii="Helvetica" w:eastAsia="Times New Roman" w:hAnsi="Helvetica" w:cs="Times New Roman"/>
          <w:color w:val="133850"/>
          <w:sz w:val="20"/>
          <w:szCs w:val="20"/>
          <w:highlight w:val="darkGray"/>
        </w:rPr>
        <w:t>Considering the 2019 FRTB standards, the revised weighted average increase in the current MRC is 23.6% for the entire sample, under conservative assumptions. The lower impact compared to the August 2019 Report (24.4%) is due to a reduction in the impact of market risk (2.2% compared to 2.5%) and the lower impact of the output floor (8.6%, compared to 9.1%). This reduction is observed almost entirely among large banks. The estimated total capital shortfall is about EUR 124.8 billion (EUR 83.0 billion in terms of CET1), down from the EUR 135.1 billion shortfall in total capital (EUR 91.1 billion in CET1) estimated in the August 2019 report</w:t>
      </w:r>
      <w:bookmarkStart w:id="0" w:name="_GoBack"/>
      <w:bookmarkEnd w:id="0"/>
      <w:r w:rsidRPr="00755F2B">
        <w:rPr>
          <w:rFonts w:ascii="Helvetica" w:eastAsia="Times New Roman" w:hAnsi="Helvetica" w:cs="Times New Roman"/>
          <w:color w:val="133850"/>
          <w:sz w:val="20"/>
          <w:szCs w:val="20"/>
          <w:highlight w:val="darkGray"/>
        </w:rPr>
        <w:t>.</w:t>
      </w:r>
    </w:p>
    <w:p w14:paraId="125A55D8" w14:textId="77777777" w:rsidR="003F69A9" w:rsidRPr="003F69A9" w:rsidRDefault="003F69A9" w:rsidP="003F69A9">
      <w:pPr>
        <w:jc w:val="both"/>
        <w:rPr>
          <w:rFonts w:ascii="Helvetica" w:eastAsia="Times New Roman" w:hAnsi="Helvetica" w:cs="Times New Roman"/>
          <w:color w:val="133850"/>
          <w:sz w:val="20"/>
          <w:szCs w:val="20"/>
        </w:rPr>
      </w:pPr>
      <w:r w:rsidRPr="003F69A9">
        <w:rPr>
          <w:rFonts w:ascii="Helvetica" w:eastAsia="Times New Roman" w:hAnsi="Helvetica" w:cs="Times New Roman"/>
          <w:color w:val="133850"/>
          <w:sz w:val="20"/>
          <w:szCs w:val="20"/>
        </w:rPr>
        <w:t> </w:t>
      </w:r>
    </w:p>
    <w:p w14:paraId="2E9BF904" w14:textId="77777777" w:rsidR="003F69A9" w:rsidRPr="003F69A9" w:rsidRDefault="003F69A9" w:rsidP="003F69A9">
      <w:pPr>
        <w:spacing w:after="150"/>
        <w:rPr>
          <w:rFonts w:ascii="Helvetica" w:eastAsia="Times New Roman" w:hAnsi="Helvetica" w:cs="Times New Roman"/>
          <w:color w:val="133850"/>
          <w:sz w:val="20"/>
          <w:szCs w:val="20"/>
        </w:rPr>
      </w:pPr>
      <w:r w:rsidRPr="003F69A9">
        <w:rPr>
          <w:rFonts w:ascii="Helvetica" w:eastAsia="Times New Roman" w:hAnsi="Helvetica" w:cs="Times New Roman"/>
          <w:b/>
          <w:bCs/>
          <w:color w:val="133850"/>
          <w:sz w:val="20"/>
          <w:szCs w:val="20"/>
        </w:rPr>
        <w:t>Table 1</w:t>
      </w:r>
      <w:r w:rsidRPr="003F69A9">
        <w:rPr>
          <w:rFonts w:ascii="Helvetica" w:eastAsia="Times New Roman" w:hAnsi="Helvetica" w:cs="Times New Roman"/>
          <w:color w:val="133850"/>
          <w:sz w:val="20"/>
          <w:szCs w:val="20"/>
        </w:rPr>
        <w:t> Percentage change in T1 MRC (relative to current T1 MRC), by size</w:t>
      </w:r>
    </w:p>
    <w:tbl>
      <w:tblPr>
        <w:tblW w:w="5000" w:type="pct"/>
        <w:jc w:val="center"/>
        <w:tblCellMar>
          <w:top w:w="15" w:type="dxa"/>
          <w:left w:w="15" w:type="dxa"/>
          <w:bottom w:w="15" w:type="dxa"/>
          <w:right w:w="15" w:type="dxa"/>
        </w:tblCellMar>
        <w:tblLook w:val="04A0" w:firstRow="1" w:lastRow="0" w:firstColumn="1" w:lastColumn="0" w:noHBand="0" w:noVBand="1"/>
      </w:tblPr>
      <w:tblGrid>
        <w:gridCol w:w="1558"/>
        <w:gridCol w:w="780"/>
        <w:gridCol w:w="780"/>
        <w:gridCol w:w="780"/>
        <w:gridCol w:w="780"/>
        <w:gridCol w:w="780"/>
        <w:gridCol w:w="780"/>
        <w:gridCol w:w="780"/>
        <w:gridCol w:w="780"/>
        <w:gridCol w:w="781"/>
        <w:gridCol w:w="781"/>
      </w:tblGrid>
      <w:tr w:rsidR="003F69A9" w:rsidRPr="003F69A9" w14:paraId="3022DBC5" w14:textId="77777777" w:rsidTr="003F69A9">
        <w:trPr>
          <w:trHeight w:val="291"/>
          <w:jc w:val="center"/>
        </w:trPr>
        <w:tc>
          <w:tcPr>
            <w:tcW w:w="800" w:type="pct"/>
            <w:tcBorders>
              <w:top w:val="nil"/>
              <w:left w:val="nil"/>
              <w:bottom w:val="single" w:sz="18" w:space="0" w:color="E98E31"/>
              <w:right w:val="nil"/>
            </w:tcBorders>
            <w:shd w:val="clear" w:color="auto" w:fill="auto"/>
            <w:tcMar>
              <w:top w:w="14" w:type="dxa"/>
              <w:left w:w="14" w:type="dxa"/>
              <w:bottom w:w="0" w:type="dxa"/>
              <w:right w:w="14" w:type="dxa"/>
            </w:tcMar>
            <w:vAlign w:val="bottom"/>
            <w:hideMark/>
          </w:tcPr>
          <w:p w14:paraId="30ACD51D" w14:textId="77777777" w:rsidR="003F69A9" w:rsidRPr="003F69A9" w:rsidRDefault="003F69A9" w:rsidP="003F69A9">
            <w:pPr>
              <w:rPr>
                <w:rFonts w:ascii="Times New Roman" w:eastAsia="Times New Roman" w:hAnsi="Times New Roman" w:cs="Times New Roman"/>
              </w:rPr>
            </w:pPr>
            <w:r w:rsidRPr="003F69A9">
              <w:rPr>
                <w:rFonts w:ascii="Times New Roman" w:eastAsia="Times New Roman" w:hAnsi="Times New Roman" w:cs="Times New Roman"/>
              </w:rPr>
              <w:t> </w:t>
            </w:r>
          </w:p>
        </w:tc>
        <w:tc>
          <w:tcPr>
            <w:tcW w:w="400" w:type="pct"/>
            <w:tcBorders>
              <w:top w:val="nil"/>
              <w:left w:val="nil"/>
              <w:bottom w:val="single" w:sz="18" w:space="0" w:color="E98E31"/>
              <w:right w:val="nil"/>
            </w:tcBorders>
            <w:shd w:val="clear" w:color="auto" w:fill="auto"/>
            <w:tcMar>
              <w:top w:w="14" w:type="dxa"/>
              <w:left w:w="14" w:type="dxa"/>
              <w:bottom w:w="0" w:type="dxa"/>
              <w:right w:w="14" w:type="dxa"/>
            </w:tcMar>
            <w:vAlign w:val="center"/>
            <w:hideMark/>
          </w:tcPr>
          <w:p w14:paraId="71787806"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 SA</w:t>
            </w:r>
          </w:p>
        </w:tc>
        <w:tc>
          <w:tcPr>
            <w:tcW w:w="400" w:type="pct"/>
            <w:tcBorders>
              <w:top w:val="nil"/>
              <w:left w:val="nil"/>
              <w:bottom w:val="single" w:sz="18" w:space="0" w:color="E98E31"/>
              <w:right w:val="nil"/>
            </w:tcBorders>
            <w:shd w:val="clear" w:color="auto" w:fill="auto"/>
            <w:tcMar>
              <w:top w:w="14" w:type="dxa"/>
              <w:left w:w="14" w:type="dxa"/>
              <w:bottom w:w="0" w:type="dxa"/>
              <w:right w:w="14" w:type="dxa"/>
            </w:tcMar>
            <w:vAlign w:val="center"/>
            <w:hideMark/>
          </w:tcPr>
          <w:p w14:paraId="35A16AC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 IRB</w:t>
            </w:r>
          </w:p>
        </w:tc>
        <w:tc>
          <w:tcPr>
            <w:tcW w:w="400" w:type="pct"/>
            <w:tcBorders>
              <w:top w:val="nil"/>
              <w:left w:val="nil"/>
              <w:bottom w:val="single" w:sz="18" w:space="0" w:color="E98E31"/>
              <w:right w:val="nil"/>
            </w:tcBorders>
            <w:shd w:val="clear" w:color="auto" w:fill="auto"/>
            <w:tcMar>
              <w:top w:w="14" w:type="dxa"/>
              <w:left w:w="14" w:type="dxa"/>
              <w:bottom w:w="0" w:type="dxa"/>
              <w:right w:w="14" w:type="dxa"/>
            </w:tcMar>
            <w:vAlign w:val="center"/>
            <w:hideMark/>
          </w:tcPr>
          <w:p w14:paraId="0C89293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 CCP</w:t>
            </w:r>
          </w:p>
        </w:tc>
        <w:tc>
          <w:tcPr>
            <w:tcW w:w="400" w:type="pct"/>
            <w:tcBorders>
              <w:top w:val="nil"/>
              <w:left w:val="nil"/>
              <w:bottom w:val="single" w:sz="18" w:space="0" w:color="E98E31"/>
              <w:right w:val="nil"/>
            </w:tcBorders>
            <w:shd w:val="clear" w:color="auto" w:fill="auto"/>
            <w:tcMar>
              <w:top w:w="14" w:type="dxa"/>
              <w:left w:w="14" w:type="dxa"/>
              <w:bottom w:w="0" w:type="dxa"/>
              <w:right w:w="14" w:type="dxa"/>
            </w:tcMar>
            <w:vAlign w:val="center"/>
            <w:hideMark/>
          </w:tcPr>
          <w:p w14:paraId="04FFA257"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 SEC</w:t>
            </w:r>
          </w:p>
        </w:tc>
        <w:tc>
          <w:tcPr>
            <w:tcW w:w="400" w:type="pct"/>
            <w:tcBorders>
              <w:top w:val="nil"/>
              <w:left w:val="nil"/>
              <w:bottom w:val="single" w:sz="18" w:space="0" w:color="E98E31"/>
              <w:right w:val="nil"/>
            </w:tcBorders>
            <w:shd w:val="clear" w:color="auto" w:fill="auto"/>
            <w:tcMar>
              <w:top w:w="14" w:type="dxa"/>
              <w:left w:w="14" w:type="dxa"/>
              <w:bottom w:w="0" w:type="dxa"/>
              <w:right w:w="14" w:type="dxa"/>
            </w:tcMar>
            <w:vAlign w:val="center"/>
            <w:hideMark/>
          </w:tcPr>
          <w:p w14:paraId="5E039847"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 MKT</w:t>
            </w:r>
          </w:p>
        </w:tc>
        <w:tc>
          <w:tcPr>
            <w:tcW w:w="400" w:type="pct"/>
            <w:tcBorders>
              <w:top w:val="nil"/>
              <w:left w:val="nil"/>
              <w:bottom w:val="single" w:sz="18" w:space="0" w:color="E98E31"/>
              <w:right w:val="nil"/>
            </w:tcBorders>
            <w:shd w:val="clear" w:color="auto" w:fill="auto"/>
            <w:tcMar>
              <w:top w:w="14" w:type="dxa"/>
              <w:left w:w="14" w:type="dxa"/>
              <w:bottom w:w="0" w:type="dxa"/>
              <w:right w:w="14" w:type="dxa"/>
            </w:tcMar>
            <w:vAlign w:val="center"/>
            <w:hideMark/>
          </w:tcPr>
          <w:p w14:paraId="4AF5D03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 OP</w:t>
            </w:r>
          </w:p>
        </w:tc>
        <w:tc>
          <w:tcPr>
            <w:tcW w:w="400" w:type="pct"/>
            <w:tcBorders>
              <w:top w:val="nil"/>
              <w:left w:val="nil"/>
              <w:bottom w:val="single" w:sz="18" w:space="0" w:color="E98E31"/>
              <w:right w:val="nil"/>
            </w:tcBorders>
            <w:shd w:val="clear" w:color="auto" w:fill="auto"/>
            <w:tcMar>
              <w:top w:w="14" w:type="dxa"/>
              <w:left w:w="14" w:type="dxa"/>
              <w:bottom w:w="0" w:type="dxa"/>
              <w:right w:w="14" w:type="dxa"/>
            </w:tcMar>
            <w:vAlign w:val="center"/>
            <w:hideMark/>
          </w:tcPr>
          <w:p w14:paraId="53424B9D"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 CVA</w:t>
            </w:r>
          </w:p>
        </w:tc>
        <w:tc>
          <w:tcPr>
            <w:tcW w:w="400" w:type="pct"/>
            <w:tcBorders>
              <w:top w:val="nil"/>
              <w:left w:val="nil"/>
              <w:bottom w:val="single" w:sz="18" w:space="0" w:color="E98E31"/>
              <w:right w:val="nil"/>
            </w:tcBorders>
            <w:shd w:val="clear" w:color="auto" w:fill="auto"/>
            <w:tcMar>
              <w:top w:w="14" w:type="dxa"/>
              <w:left w:w="14" w:type="dxa"/>
              <w:bottom w:w="0" w:type="dxa"/>
              <w:right w:w="14" w:type="dxa"/>
            </w:tcMar>
            <w:vAlign w:val="center"/>
            <w:hideMark/>
          </w:tcPr>
          <w:p w14:paraId="315B9A41"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 LR</w:t>
            </w:r>
          </w:p>
        </w:tc>
        <w:tc>
          <w:tcPr>
            <w:tcW w:w="400" w:type="pct"/>
            <w:tcBorders>
              <w:top w:val="nil"/>
              <w:left w:val="nil"/>
              <w:bottom w:val="single" w:sz="18" w:space="0" w:color="E98E31"/>
              <w:right w:val="nil"/>
            </w:tcBorders>
            <w:shd w:val="clear" w:color="auto" w:fill="auto"/>
            <w:tcMar>
              <w:top w:w="14" w:type="dxa"/>
              <w:left w:w="14" w:type="dxa"/>
              <w:bottom w:w="0" w:type="dxa"/>
              <w:right w:w="14" w:type="dxa"/>
            </w:tcMar>
            <w:vAlign w:val="center"/>
            <w:hideMark/>
          </w:tcPr>
          <w:p w14:paraId="22398FC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 OF</w:t>
            </w:r>
          </w:p>
        </w:tc>
        <w:tc>
          <w:tcPr>
            <w:tcW w:w="400" w:type="pct"/>
            <w:tcBorders>
              <w:top w:val="nil"/>
              <w:left w:val="nil"/>
              <w:bottom w:val="single" w:sz="18" w:space="0" w:color="E98E31"/>
              <w:right w:val="nil"/>
            </w:tcBorders>
            <w:shd w:val="clear" w:color="auto" w:fill="auto"/>
            <w:tcMar>
              <w:top w:w="14" w:type="dxa"/>
              <w:left w:w="14" w:type="dxa"/>
              <w:bottom w:w="0" w:type="dxa"/>
              <w:right w:w="14" w:type="dxa"/>
            </w:tcMar>
            <w:vAlign w:val="center"/>
            <w:hideMark/>
          </w:tcPr>
          <w:p w14:paraId="154C6DF4"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 Total</w:t>
            </w:r>
          </w:p>
        </w:tc>
      </w:tr>
      <w:tr w:rsidR="003F69A9" w:rsidRPr="003F69A9" w14:paraId="4261980A" w14:textId="77777777" w:rsidTr="003F69A9">
        <w:trPr>
          <w:trHeight w:val="288"/>
          <w:jc w:val="center"/>
        </w:trPr>
        <w:tc>
          <w:tcPr>
            <w:tcW w:w="8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4455DBE6"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All banks</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2CE1DD66"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2.7</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6FF75989"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2.7</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7F32C18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0.1</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5937FD89"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0.6</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54065D57"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2.2</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1337B404"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3.3</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5B01B606"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3.9</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6BB0E356"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-0.5</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7C0E4E4E"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8.6</w:t>
            </w:r>
          </w:p>
        </w:tc>
        <w:tc>
          <w:tcPr>
            <w:tcW w:w="400" w:type="pct"/>
            <w:tcBorders>
              <w:top w:val="nil"/>
              <w:left w:val="nil"/>
              <w:bottom w:val="single" w:sz="8" w:space="0" w:color="000000"/>
              <w:right w:val="nil"/>
            </w:tcBorders>
            <w:shd w:val="clear" w:color="auto" w:fill="F2F2F2"/>
            <w:tcMar>
              <w:top w:w="14" w:type="dxa"/>
              <w:left w:w="14" w:type="dxa"/>
              <w:bottom w:w="0" w:type="dxa"/>
              <w:right w:w="14" w:type="dxa"/>
            </w:tcMar>
            <w:vAlign w:val="center"/>
            <w:hideMark/>
          </w:tcPr>
          <w:p w14:paraId="4BDEEE1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23.6</w:t>
            </w:r>
          </w:p>
        </w:tc>
      </w:tr>
      <w:tr w:rsidR="003F69A9" w:rsidRPr="003F69A9" w14:paraId="6EF7347C" w14:textId="77777777" w:rsidTr="003F69A9">
        <w:trPr>
          <w:trHeight w:val="288"/>
          <w:jc w:val="center"/>
        </w:trPr>
        <w:tc>
          <w:tcPr>
            <w:tcW w:w="8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351298BE"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color w:val="000000"/>
                <w:sz w:val="18"/>
                <w:szCs w:val="18"/>
                <w:lang w:val="en-GB"/>
              </w:rPr>
              <w:t>Large</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257A7416"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2.3</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65C43945"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2.8</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33D5FEA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0.1</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33965C47"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0.7</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2A5ED7F3"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2.2</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138F5C0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3.4</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7DCAF8DF"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4.1</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6EBA6BE9"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-0.5</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00CAAEE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9.0</w:t>
            </w:r>
          </w:p>
        </w:tc>
        <w:tc>
          <w:tcPr>
            <w:tcW w:w="400" w:type="pct"/>
            <w:tcBorders>
              <w:top w:val="nil"/>
              <w:left w:val="nil"/>
              <w:bottom w:val="single" w:sz="8" w:space="0" w:color="000000"/>
              <w:right w:val="nil"/>
            </w:tcBorders>
            <w:shd w:val="clear" w:color="auto" w:fill="F2F2F2"/>
            <w:tcMar>
              <w:top w:w="14" w:type="dxa"/>
              <w:left w:w="14" w:type="dxa"/>
              <w:bottom w:w="0" w:type="dxa"/>
              <w:right w:w="14" w:type="dxa"/>
            </w:tcMar>
            <w:vAlign w:val="center"/>
            <w:hideMark/>
          </w:tcPr>
          <w:p w14:paraId="7AA38A2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24.1</w:t>
            </w:r>
          </w:p>
        </w:tc>
      </w:tr>
      <w:tr w:rsidR="003F69A9" w:rsidRPr="003F69A9" w14:paraId="748ECD14" w14:textId="77777777" w:rsidTr="003F69A9">
        <w:trPr>
          <w:trHeight w:val="288"/>
          <w:jc w:val="center"/>
        </w:trPr>
        <w:tc>
          <w:tcPr>
            <w:tcW w:w="8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1CA56146"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color w:val="000000"/>
                <w:sz w:val="18"/>
                <w:szCs w:val="18"/>
                <w:lang w:val="en-GB"/>
              </w:rPr>
              <w:t>of which: G-SIIs</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0F91876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1.7</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5D0382F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3.5</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6AC4C2DA"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-0.1</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19742613"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1.2</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17E56A91"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3.9</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5735F0FA"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5.5</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4B6A786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5.1</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4E9A734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0.0</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1645D698"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6.4</w:t>
            </w:r>
          </w:p>
        </w:tc>
        <w:tc>
          <w:tcPr>
            <w:tcW w:w="400" w:type="pct"/>
            <w:tcBorders>
              <w:top w:val="nil"/>
              <w:left w:val="nil"/>
              <w:bottom w:val="single" w:sz="8" w:space="0" w:color="000000"/>
              <w:right w:val="nil"/>
            </w:tcBorders>
            <w:shd w:val="clear" w:color="auto" w:fill="F2F2F2"/>
            <w:tcMar>
              <w:top w:w="14" w:type="dxa"/>
              <w:left w:w="14" w:type="dxa"/>
              <w:bottom w:w="0" w:type="dxa"/>
              <w:right w:w="14" w:type="dxa"/>
            </w:tcMar>
            <w:vAlign w:val="center"/>
            <w:hideMark/>
          </w:tcPr>
          <w:p w14:paraId="1046509A"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27.2</w:t>
            </w:r>
          </w:p>
        </w:tc>
      </w:tr>
      <w:tr w:rsidR="003F69A9" w:rsidRPr="003F69A9" w14:paraId="7D9DBB3A" w14:textId="77777777" w:rsidTr="003F69A9">
        <w:trPr>
          <w:trHeight w:val="288"/>
          <w:jc w:val="center"/>
        </w:trPr>
        <w:tc>
          <w:tcPr>
            <w:tcW w:w="8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255E6DC1"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color w:val="000000"/>
                <w:sz w:val="18"/>
                <w:szCs w:val="18"/>
                <w:lang w:val="en-GB"/>
              </w:rPr>
              <w:t>of which: O-SIIs</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32A557C3"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2.3</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0C2494B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1.7</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726A88F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0.2</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7C14A2E6"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0.3</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3EBA3C7A"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1.2</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09AEF5F5"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2.1</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181E5F1F"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3.7</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6033D4B1"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-0.5</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3F737F7D"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12.0</w:t>
            </w:r>
          </w:p>
        </w:tc>
        <w:tc>
          <w:tcPr>
            <w:tcW w:w="400" w:type="pct"/>
            <w:tcBorders>
              <w:top w:val="nil"/>
              <w:left w:val="nil"/>
              <w:bottom w:val="single" w:sz="8" w:space="0" w:color="000000"/>
              <w:right w:val="nil"/>
            </w:tcBorders>
            <w:shd w:val="clear" w:color="auto" w:fill="F2F2F2"/>
            <w:tcMar>
              <w:top w:w="14" w:type="dxa"/>
              <w:left w:w="14" w:type="dxa"/>
              <w:bottom w:w="0" w:type="dxa"/>
              <w:right w:w="14" w:type="dxa"/>
            </w:tcMar>
            <w:vAlign w:val="center"/>
            <w:hideMark/>
          </w:tcPr>
          <w:p w14:paraId="4CEEBB8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23.0</w:t>
            </w:r>
          </w:p>
        </w:tc>
      </w:tr>
      <w:tr w:rsidR="003F69A9" w:rsidRPr="003F69A9" w14:paraId="5A379F50" w14:textId="77777777" w:rsidTr="003F69A9">
        <w:trPr>
          <w:trHeight w:val="288"/>
          <w:jc w:val="center"/>
        </w:trPr>
        <w:tc>
          <w:tcPr>
            <w:tcW w:w="8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2724AA51"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color w:val="000000"/>
                <w:sz w:val="18"/>
                <w:szCs w:val="18"/>
                <w:lang w:val="en-GB"/>
              </w:rPr>
              <w:t>Medium</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44A69DD9"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9.7</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47025F0E"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0.1</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41057207"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0.0</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08F45D8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0.0</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21B39AA5"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0.9</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024066B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0.3</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7BB030FF"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0.5</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31549649"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-1.1</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15162B7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0.9</w:t>
            </w:r>
          </w:p>
        </w:tc>
        <w:tc>
          <w:tcPr>
            <w:tcW w:w="400" w:type="pct"/>
            <w:tcBorders>
              <w:top w:val="nil"/>
              <w:left w:val="nil"/>
              <w:bottom w:val="single" w:sz="8" w:space="0" w:color="000000"/>
              <w:right w:val="nil"/>
            </w:tcBorders>
            <w:shd w:val="clear" w:color="auto" w:fill="F2F2F2"/>
            <w:tcMar>
              <w:top w:w="14" w:type="dxa"/>
              <w:left w:w="14" w:type="dxa"/>
              <w:bottom w:w="0" w:type="dxa"/>
              <w:right w:w="14" w:type="dxa"/>
            </w:tcMar>
            <w:vAlign w:val="center"/>
            <w:hideMark/>
          </w:tcPr>
          <w:p w14:paraId="0E8D3504"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11.3</w:t>
            </w:r>
          </w:p>
        </w:tc>
      </w:tr>
      <w:tr w:rsidR="003F69A9" w:rsidRPr="003F69A9" w14:paraId="4A6F0F45" w14:textId="77777777" w:rsidTr="003F69A9">
        <w:trPr>
          <w:trHeight w:val="288"/>
          <w:jc w:val="center"/>
        </w:trPr>
        <w:tc>
          <w:tcPr>
            <w:tcW w:w="8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22E79722"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color w:val="000000"/>
                <w:sz w:val="18"/>
                <w:szCs w:val="18"/>
                <w:lang w:val="en-GB"/>
              </w:rPr>
              <w:t>Small</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299DA96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10.7</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2077A04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0.0</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284D1D9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0.2</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3175C4A3"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-1.9</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0E056853"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0.0</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007FFA18"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-3.7</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48AA1833"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0.3</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406F402F"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-0.1</w:t>
            </w:r>
          </w:p>
        </w:tc>
        <w:tc>
          <w:tcPr>
            <w:tcW w:w="400" w:type="pct"/>
            <w:tcBorders>
              <w:top w:val="nil"/>
              <w:left w:val="nil"/>
              <w:bottom w:val="single" w:sz="8" w:space="0" w:color="000000"/>
              <w:right w:val="nil"/>
            </w:tcBorders>
            <w:shd w:val="clear" w:color="auto" w:fill="auto"/>
            <w:tcMar>
              <w:top w:w="14" w:type="dxa"/>
              <w:left w:w="14" w:type="dxa"/>
              <w:bottom w:w="0" w:type="dxa"/>
              <w:right w:w="14" w:type="dxa"/>
            </w:tcMar>
            <w:vAlign w:val="center"/>
            <w:hideMark/>
          </w:tcPr>
          <w:p w14:paraId="06FE2059"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0.0</w:t>
            </w:r>
          </w:p>
        </w:tc>
        <w:tc>
          <w:tcPr>
            <w:tcW w:w="400" w:type="pct"/>
            <w:tcBorders>
              <w:top w:val="nil"/>
              <w:left w:val="nil"/>
              <w:bottom w:val="single" w:sz="8" w:space="0" w:color="000000"/>
              <w:right w:val="nil"/>
            </w:tcBorders>
            <w:shd w:val="clear" w:color="auto" w:fill="F2F2F2"/>
            <w:tcMar>
              <w:top w:w="14" w:type="dxa"/>
              <w:left w:w="14" w:type="dxa"/>
              <w:bottom w:w="0" w:type="dxa"/>
              <w:right w:w="14" w:type="dxa"/>
            </w:tcMar>
            <w:vAlign w:val="center"/>
            <w:hideMark/>
          </w:tcPr>
          <w:p w14:paraId="5E2B9E91"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5.5</w:t>
            </w:r>
          </w:p>
        </w:tc>
      </w:tr>
    </w:tbl>
    <w:p w14:paraId="21A9A7CE" w14:textId="77777777" w:rsidR="003F69A9" w:rsidRPr="003F69A9" w:rsidRDefault="003F69A9" w:rsidP="003F69A9">
      <w:pPr>
        <w:rPr>
          <w:rFonts w:ascii="Helvetica" w:eastAsia="Times New Roman" w:hAnsi="Helvetica" w:cs="Times New Roman"/>
          <w:color w:val="133850"/>
          <w:sz w:val="20"/>
          <w:szCs w:val="20"/>
        </w:rPr>
      </w:pPr>
      <w:r w:rsidRPr="003F69A9">
        <w:rPr>
          <w:rFonts w:ascii="Helvetica" w:eastAsia="Times New Roman" w:hAnsi="Helvetica" w:cs="Times New Roman"/>
          <w:color w:val="133850"/>
          <w:sz w:val="20"/>
          <w:szCs w:val="20"/>
        </w:rPr>
        <w:t> </w:t>
      </w:r>
    </w:p>
    <w:p w14:paraId="0497463B" w14:textId="77777777" w:rsidR="003F69A9" w:rsidRPr="003F69A9" w:rsidRDefault="003F69A9" w:rsidP="003F69A9">
      <w:pPr>
        <w:spacing w:after="150"/>
        <w:rPr>
          <w:rFonts w:ascii="Helvetica" w:eastAsia="Times New Roman" w:hAnsi="Helvetica" w:cs="Times New Roman"/>
          <w:color w:val="133850"/>
          <w:sz w:val="20"/>
          <w:szCs w:val="20"/>
        </w:rPr>
      </w:pPr>
      <w:r w:rsidRPr="003F69A9">
        <w:rPr>
          <w:rFonts w:ascii="Helvetica" w:eastAsia="Times New Roman" w:hAnsi="Helvetica" w:cs="Times New Roman"/>
          <w:b/>
          <w:bCs/>
          <w:color w:val="133850"/>
          <w:sz w:val="20"/>
          <w:szCs w:val="20"/>
        </w:rPr>
        <w:t>Table 2</w:t>
      </w:r>
      <w:r w:rsidRPr="003F69A9">
        <w:rPr>
          <w:rFonts w:ascii="Helvetica" w:eastAsia="Times New Roman" w:hAnsi="Helvetica" w:cs="Times New Roman"/>
          <w:color w:val="133850"/>
          <w:sz w:val="20"/>
          <w:szCs w:val="20"/>
        </w:rPr>
        <w:t> Capital ratios and shortfalls, by size</w:t>
      </w:r>
    </w:p>
    <w:tbl>
      <w:tblPr>
        <w:tblW w:w="5000" w:type="pct"/>
        <w:jc w:val="center"/>
        <w:tblCellMar>
          <w:top w:w="15" w:type="dxa"/>
          <w:left w:w="15" w:type="dxa"/>
          <w:bottom w:w="15" w:type="dxa"/>
          <w:right w:w="15" w:type="dxa"/>
        </w:tblCellMar>
        <w:tblLook w:val="04A0" w:firstRow="1" w:lastRow="0" w:firstColumn="1" w:lastColumn="0" w:noHBand="0" w:noVBand="1"/>
      </w:tblPr>
      <w:tblGrid>
        <w:gridCol w:w="1338"/>
        <w:gridCol w:w="860"/>
        <w:gridCol w:w="860"/>
        <w:gridCol w:w="956"/>
        <w:gridCol w:w="859"/>
        <w:gridCol w:w="859"/>
        <w:gridCol w:w="955"/>
        <w:gridCol w:w="859"/>
        <w:gridCol w:w="859"/>
        <w:gridCol w:w="955"/>
      </w:tblGrid>
      <w:tr w:rsidR="003F69A9" w:rsidRPr="003F69A9" w14:paraId="524F91EF" w14:textId="77777777" w:rsidTr="003F69A9">
        <w:trPr>
          <w:trHeight w:val="288"/>
          <w:jc w:val="center"/>
        </w:trPr>
        <w:tc>
          <w:tcPr>
            <w:tcW w:w="700" w:type="pct"/>
            <w:shd w:val="clear" w:color="auto" w:fill="auto"/>
            <w:tcMar>
              <w:top w:w="15" w:type="dxa"/>
              <w:left w:w="15" w:type="dxa"/>
              <w:bottom w:w="0" w:type="dxa"/>
              <w:right w:w="15" w:type="dxa"/>
            </w:tcMar>
            <w:vAlign w:val="bottom"/>
            <w:hideMark/>
          </w:tcPr>
          <w:p w14:paraId="3A6E0858"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sz w:val="22"/>
                <w:szCs w:val="22"/>
              </w:rPr>
              <w:t> </w:t>
            </w:r>
          </w:p>
        </w:tc>
        <w:tc>
          <w:tcPr>
            <w:tcW w:w="1400" w:type="pct"/>
            <w:gridSpan w:val="3"/>
            <w:tcBorders>
              <w:top w:val="nil"/>
              <w:left w:val="nil"/>
              <w:bottom w:val="single" w:sz="18" w:space="0" w:color="E98E31"/>
              <w:right w:val="nil"/>
            </w:tcBorders>
            <w:shd w:val="clear" w:color="auto" w:fill="auto"/>
            <w:tcMar>
              <w:top w:w="15" w:type="dxa"/>
              <w:left w:w="15" w:type="dxa"/>
              <w:bottom w:w="0" w:type="dxa"/>
              <w:right w:w="15" w:type="dxa"/>
            </w:tcMar>
            <w:vAlign w:val="center"/>
            <w:hideMark/>
          </w:tcPr>
          <w:p w14:paraId="2A42F9AD"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CET1 capital</w:t>
            </w:r>
          </w:p>
        </w:tc>
        <w:tc>
          <w:tcPr>
            <w:tcW w:w="1400" w:type="pct"/>
            <w:gridSpan w:val="3"/>
            <w:tcBorders>
              <w:top w:val="nil"/>
              <w:left w:val="nil"/>
              <w:bottom w:val="single" w:sz="18" w:space="0" w:color="E98E31"/>
              <w:right w:val="nil"/>
            </w:tcBorders>
            <w:shd w:val="clear" w:color="auto" w:fill="auto"/>
            <w:tcMar>
              <w:top w:w="15" w:type="dxa"/>
              <w:left w:w="15" w:type="dxa"/>
              <w:bottom w:w="0" w:type="dxa"/>
              <w:right w:w="15" w:type="dxa"/>
            </w:tcMar>
            <w:vAlign w:val="center"/>
            <w:hideMark/>
          </w:tcPr>
          <w:p w14:paraId="6671364A"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Tier 1 capital</w:t>
            </w:r>
          </w:p>
        </w:tc>
        <w:tc>
          <w:tcPr>
            <w:tcW w:w="1400" w:type="pct"/>
            <w:gridSpan w:val="3"/>
            <w:tcBorders>
              <w:top w:val="nil"/>
              <w:left w:val="nil"/>
              <w:bottom w:val="single" w:sz="18" w:space="0" w:color="E98E31"/>
              <w:right w:val="nil"/>
            </w:tcBorders>
            <w:shd w:val="clear" w:color="auto" w:fill="auto"/>
            <w:tcMar>
              <w:top w:w="15" w:type="dxa"/>
              <w:left w:w="15" w:type="dxa"/>
              <w:bottom w:w="0" w:type="dxa"/>
              <w:right w:w="15" w:type="dxa"/>
            </w:tcMar>
            <w:vAlign w:val="center"/>
            <w:hideMark/>
          </w:tcPr>
          <w:p w14:paraId="203CA9E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Total capital</w:t>
            </w:r>
          </w:p>
        </w:tc>
      </w:tr>
      <w:tr w:rsidR="003F69A9" w:rsidRPr="003F69A9" w14:paraId="4121928C" w14:textId="77777777" w:rsidTr="003F69A9">
        <w:trPr>
          <w:trHeight w:val="288"/>
          <w:jc w:val="center"/>
        </w:trPr>
        <w:tc>
          <w:tcPr>
            <w:tcW w:w="700" w:type="pct"/>
            <w:tcBorders>
              <w:top w:val="nil"/>
              <w:left w:val="nil"/>
              <w:bottom w:val="single" w:sz="18" w:space="0" w:color="E98E31"/>
              <w:right w:val="nil"/>
            </w:tcBorders>
            <w:shd w:val="clear" w:color="auto" w:fill="auto"/>
            <w:tcMar>
              <w:top w:w="15" w:type="dxa"/>
              <w:left w:w="15" w:type="dxa"/>
              <w:bottom w:w="0" w:type="dxa"/>
              <w:right w:w="15" w:type="dxa"/>
            </w:tcMar>
            <w:vAlign w:val="bottom"/>
            <w:hideMark/>
          </w:tcPr>
          <w:p w14:paraId="519E5770"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sz w:val="22"/>
                <w:szCs w:val="22"/>
              </w:rPr>
              <w:t> </w:t>
            </w:r>
          </w:p>
        </w:tc>
        <w:tc>
          <w:tcPr>
            <w:tcW w:w="450" w:type="pct"/>
            <w:tcBorders>
              <w:top w:val="nil"/>
              <w:left w:val="nil"/>
              <w:bottom w:val="single" w:sz="18" w:space="0" w:color="E98E31"/>
              <w:right w:val="nil"/>
            </w:tcBorders>
            <w:shd w:val="clear" w:color="auto" w:fill="auto"/>
            <w:tcMar>
              <w:top w:w="15" w:type="dxa"/>
              <w:left w:w="15" w:type="dxa"/>
              <w:bottom w:w="0" w:type="dxa"/>
              <w:right w:w="15" w:type="dxa"/>
            </w:tcMar>
            <w:vAlign w:val="center"/>
            <w:hideMark/>
          </w:tcPr>
          <w:p w14:paraId="428D46D1"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Current ratio (%)</w:t>
            </w:r>
          </w:p>
        </w:tc>
        <w:tc>
          <w:tcPr>
            <w:tcW w:w="450" w:type="pct"/>
            <w:tcBorders>
              <w:top w:val="single" w:sz="18" w:space="0" w:color="E98E31"/>
              <w:left w:val="nil"/>
              <w:bottom w:val="single" w:sz="18" w:space="0" w:color="E98E31"/>
              <w:right w:val="nil"/>
            </w:tcBorders>
            <w:shd w:val="clear" w:color="auto" w:fill="auto"/>
            <w:tcMar>
              <w:top w:w="15" w:type="dxa"/>
              <w:left w:w="15" w:type="dxa"/>
              <w:bottom w:w="0" w:type="dxa"/>
              <w:right w:w="15" w:type="dxa"/>
            </w:tcMar>
            <w:vAlign w:val="center"/>
            <w:hideMark/>
          </w:tcPr>
          <w:p w14:paraId="40E2A5AE"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Revised ratio (%)</w:t>
            </w:r>
          </w:p>
        </w:tc>
        <w:tc>
          <w:tcPr>
            <w:tcW w:w="500" w:type="pct"/>
            <w:tcBorders>
              <w:top w:val="single" w:sz="18" w:space="0" w:color="E98E31"/>
              <w:left w:val="nil"/>
              <w:bottom w:val="single" w:sz="18" w:space="0" w:color="E98E31"/>
              <w:right w:val="nil"/>
            </w:tcBorders>
            <w:shd w:val="clear" w:color="auto" w:fill="F2F2F2"/>
            <w:tcMar>
              <w:top w:w="15" w:type="dxa"/>
              <w:left w:w="15" w:type="dxa"/>
              <w:bottom w:w="0" w:type="dxa"/>
              <w:right w:w="15" w:type="dxa"/>
            </w:tcMar>
            <w:vAlign w:val="center"/>
            <w:hideMark/>
          </w:tcPr>
          <w:p w14:paraId="51FAD15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Shortfall (EUR billion)</w:t>
            </w:r>
          </w:p>
        </w:tc>
        <w:tc>
          <w:tcPr>
            <w:tcW w:w="450" w:type="pct"/>
            <w:tcBorders>
              <w:top w:val="nil"/>
              <w:left w:val="nil"/>
              <w:bottom w:val="single" w:sz="18" w:space="0" w:color="E98E31"/>
              <w:right w:val="nil"/>
            </w:tcBorders>
            <w:shd w:val="clear" w:color="auto" w:fill="auto"/>
            <w:tcMar>
              <w:top w:w="15" w:type="dxa"/>
              <w:left w:w="15" w:type="dxa"/>
              <w:bottom w:w="0" w:type="dxa"/>
              <w:right w:w="15" w:type="dxa"/>
            </w:tcMar>
            <w:vAlign w:val="center"/>
            <w:hideMark/>
          </w:tcPr>
          <w:p w14:paraId="1E3CC06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Current ratio (%)</w:t>
            </w:r>
          </w:p>
        </w:tc>
        <w:tc>
          <w:tcPr>
            <w:tcW w:w="450" w:type="pct"/>
            <w:tcBorders>
              <w:top w:val="nil"/>
              <w:left w:val="nil"/>
              <w:bottom w:val="single" w:sz="18" w:space="0" w:color="E98E31"/>
              <w:right w:val="nil"/>
            </w:tcBorders>
            <w:shd w:val="clear" w:color="auto" w:fill="auto"/>
            <w:tcMar>
              <w:top w:w="15" w:type="dxa"/>
              <w:left w:w="15" w:type="dxa"/>
              <w:bottom w:w="0" w:type="dxa"/>
              <w:right w:w="15" w:type="dxa"/>
            </w:tcMar>
            <w:vAlign w:val="center"/>
            <w:hideMark/>
          </w:tcPr>
          <w:p w14:paraId="1BAD2CA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Revised ratio (%)</w:t>
            </w:r>
          </w:p>
        </w:tc>
        <w:tc>
          <w:tcPr>
            <w:tcW w:w="500" w:type="pct"/>
            <w:tcBorders>
              <w:top w:val="nil"/>
              <w:left w:val="nil"/>
              <w:bottom w:val="single" w:sz="18" w:space="0" w:color="E98E31"/>
              <w:right w:val="nil"/>
            </w:tcBorders>
            <w:shd w:val="clear" w:color="auto" w:fill="F2F2F2"/>
            <w:tcMar>
              <w:top w:w="15" w:type="dxa"/>
              <w:left w:w="15" w:type="dxa"/>
              <w:bottom w:w="0" w:type="dxa"/>
              <w:right w:w="15" w:type="dxa"/>
            </w:tcMar>
            <w:vAlign w:val="center"/>
            <w:hideMark/>
          </w:tcPr>
          <w:p w14:paraId="5D97776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Shortfall (EUR billion)</w:t>
            </w:r>
          </w:p>
        </w:tc>
        <w:tc>
          <w:tcPr>
            <w:tcW w:w="450" w:type="pct"/>
            <w:tcBorders>
              <w:top w:val="nil"/>
              <w:left w:val="nil"/>
              <w:bottom w:val="single" w:sz="18" w:space="0" w:color="E98E31"/>
              <w:right w:val="nil"/>
            </w:tcBorders>
            <w:shd w:val="clear" w:color="auto" w:fill="auto"/>
            <w:tcMar>
              <w:top w:w="15" w:type="dxa"/>
              <w:left w:w="15" w:type="dxa"/>
              <w:bottom w:w="0" w:type="dxa"/>
              <w:right w:w="15" w:type="dxa"/>
            </w:tcMar>
            <w:vAlign w:val="center"/>
            <w:hideMark/>
          </w:tcPr>
          <w:p w14:paraId="16CBCD96"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Current ratio (%)</w:t>
            </w:r>
          </w:p>
        </w:tc>
        <w:tc>
          <w:tcPr>
            <w:tcW w:w="450" w:type="pct"/>
            <w:tcBorders>
              <w:top w:val="nil"/>
              <w:left w:val="nil"/>
              <w:bottom w:val="single" w:sz="18" w:space="0" w:color="E98E31"/>
              <w:right w:val="nil"/>
            </w:tcBorders>
            <w:shd w:val="clear" w:color="auto" w:fill="auto"/>
            <w:tcMar>
              <w:top w:w="15" w:type="dxa"/>
              <w:left w:w="15" w:type="dxa"/>
              <w:bottom w:w="0" w:type="dxa"/>
              <w:right w:w="15" w:type="dxa"/>
            </w:tcMar>
            <w:vAlign w:val="center"/>
            <w:hideMark/>
          </w:tcPr>
          <w:p w14:paraId="239AA4F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Revised ratio (%)</w:t>
            </w:r>
          </w:p>
        </w:tc>
        <w:tc>
          <w:tcPr>
            <w:tcW w:w="500" w:type="pct"/>
            <w:tcBorders>
              <w:top w:val="nil"/>
              <w:left w:val="nil"/>
              <w:bottom w:val="single" w:sz="18" w:space="0" w:color="E98E31"/>
              <w:right w:val="nil"/>
            </w:tcBorders>
            <w:shd w:val="clear" w:color="auto" w:fill="F2F2F2"/>
            <w:tcMar>
              <w:top w:w="15" w:type="dxa"/>
              <w:left w:w="15" w:type="dxa"/>
              <w:bottom w:w="0" w:type="dxa"/>
              <w:right w:w="15" w:type="dxa"/>
            </w:tcMar>
            <w:vAlign w:val="center"/>
            <w:hideMark/>
          </w:tcPr>
          <w:p w14:paraId="7EB6AD41"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Shortfall (EUR billion)</w:t>
            </w:r>
          </w:p>
        </w:tc>
      </w:tr>
      <w:tr w:rsidR="003F69A9" w:rsidRPr="003F69A9" w14:paraId="127D697D" w14:textId="77777777" w:rsidTr="003F69A9">
        <w:trPr>
          <w:trHeight w:val="288"/>
          <w:jc w:val="center"/>
        </w:trPr>
        <w:tc>
          <w:tcPr>
            <w:tcW w:w="70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FFFC91F"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All banks</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2D36FF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14.4</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47A6DE9"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11.6</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37D732B3"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83.0</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5C0D99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15.3</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674FAA"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12.4</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30680B3E"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119.0</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284253D"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17.9</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2955539"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14.4</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75F35128"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b/>
                <w:bCs/>
                <w:color w:val="000000"/>
                <w:sz w:val="18"/>
                <w:szCs w:val="18"/>
                <w:lang w:val="en-GB"/>
              </w:rPr>
              <w:t>124.8</w:t>
            </w:r>
          </w:p>
        </w:tc>
      </w:tr>
      <w:tr w:rsidR="003F69A9" w:rsidRPr="003F69A9" w14:paraId="39D2EB03" w14:textId="77777777" w:rsidTr="003F69A9">
        <w:trPr>
          <w:trHeight w:val="288"/>
          <w:jc w:val="center"/>
        </w:trPr>
        <w:tc>
          <w:tcPr>
            <w:tcW w:w="70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044A0EC"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color w:val="000000"/>
                <w:sz w:val="18"/>
                <w:szCs w:val="18"/>
                <w:lang w:val="en-GB"/>
              </w:rPr>
              <w:t>Large</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3DE66A3"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14.2</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6143A14"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11.4</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6104FA5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82.9</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703C23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15.2</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3F0BE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12.2</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3BB7844A"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118.2</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A5AE4A7"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17.8</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C027F0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14.3</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66CF4D3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123.8</w:t>
            </w:r>
          </w:p>
        </w:tc>
      </w:tr>
      <w:tr w:rsidR="003F69A9" w:rsidRPr="003F69A9" w14:paraId="6825DC4A" w14:textId="77777777" w:rsidTr="003F69A9">
        <w:trPr>
          <w:trHeight w:val="288"/>
          <w:jc w:val="center"/>
        </w:trPr>
        <w:tc>
          <w:tcPr>
            <w:tcW w:w="70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B8EA15D"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color w:val="000000"/>
                <w:sz w:val="18"/>
                <w:szCs w:val="18"/>
                <w:lang w:val="en-GB"/>
              </w:rPr>
              <w:t>of which: G-SIIs</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D14D5E"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12.7</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D91EE3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10.1</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726D3A87"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46.8</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6B38DD"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13.8</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715ED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10.9</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4F4F13F3"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62.6</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7BD289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16.2</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ECA33F8"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12.8</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4E387D25"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75.3</w:t>
            </w:r>
          </w:p>
        </w:tc>
      </w:tr>
      <w:tr w:rsidR="003F69A9" w:rsidRPr="003F69A9" w14:paraId="30B69E85" w14:textId="77777777" w:rsidTr="003F69A9">
        <w:trPr>
          <w:trHeight w:val="288"/>
          <w:jc w:val="center"/>
        </w:trPr>
        <w:tc>
          <w:tcPr>
            <w:tcW w:w="70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F80F9A6"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color w:val="000000"/>
                <w:sz w:val="18"/>
                <w:szCs w:val="18"/>
                <w:lang w:val="en-GB"/>
              </w:rPr>
              <w:t>of which: O-SIIs</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1F604F5"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15.4</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62918ED"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12.5</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61AE017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32.2</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B7BAD2A"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16.3</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2AF0A2A"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13.3</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1025A1F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49.5</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C21BE8"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19.2</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7B541BD"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15.6</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0FA7BAD1"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41.1</w:t>
            </w:r>
          </w:p>
        </w:tc>
      </w:tr>
      <w:tr w:rsidR="003F69A9" w:rsidRPr="003F69A9" w14:paraId="737BD760" w14:textId="77777777" w:rsidTr="003F69A9">
        <w:trPr>
          <w:trHeight w:val="288"/>
          <w:jc w:val="center"/>
        </w:trPr>
        <w:tc>
          <w:tcPr>
            <w:tcW w:w="70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EC2FCD"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color w:val="000000"/>
                <w:sz w:val="18"/>
                <w:szCs w:val="18"/>
                <w:lang w:val="en-GB"/>
              </w:rPr>
              <w:lastRenderedPageBreak/>
              <w:t>Medium</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7F2C35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17.3</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73D6BE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15.2</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1A6046D8"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0.1</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8A9778"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17.5</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1E1CFF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15.4</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3EF48D8D"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0.8</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E72AFF"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18.9</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D694B22"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16.6</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3B7430A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0.9</w:t>
            </w:r>
          </w:p>
        </w:tc>
      </w:tr>
      <w:tr w:rsidR="003F69A9" w:rsidRPr="003F69A9" w14:paraId="070380E2" w14:textId="77777777" w:rsidTr="003F69A9">
        <w:trPr>
          <w:trHeight w:val="288"/>
          <w:jc w:val="center"/>
        </w:trPr>
        <w:tc>
          <w:tcPr>
            <w:tcW w:w="70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102741C" w14:textId="77777777" w:rsidR="003F69A9" w:rsidRPr="003F69A9" w:rsidRDefault="003F69A9" w:rsidP="003F69A9">
            <w:pPr>
              <w:rPr>
                <w:rFonts w:ascii="Times New Roman" w:eastAsia="Times New Roman" w:hAnsi="Times New Roman" w:cs="Times New Roman"/>
              </w:rPr>
            </w:pPr>
            <w:r w:rsidRPr="003F69A9">
              <w:rPr>
                <w:rFonts w:ascii="Calibri" w:eastAsia="Times New Roman" w:hAnsi="Calibri" w:cs="Calibri"/>
                <w:color w:val="000000"/>
                <w:sz w:val="18"/>
                <w:szCs w:val="18"/>
                <w:lang w:val="en-GB"/>
              </w:rPr>
              <w:t>Small</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2D484B"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17.0</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23B0AF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16.0</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7E1F5AA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0.0</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3E66F40"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17.2</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A4699FC"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16.1</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518E00B5"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0.0</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FBE0761"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18.3</w:t>
            </w:r>
          </w:p>
        </w:tc>
        <w:tc>
          <w:tcPr>
            <w:tcW w:w="450"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82DF618"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17.1</w:t>
            </w:r>
          </w:p>
        </w:tc>
        <w:tc>
          <w:tcPr>
            <w:tcW w:w="500" w:type="pct"/>
            <w:tcBorders>
              <w:top w:val="nil"/>
              <w:left w:val="nil"/>
              <w:bottom w:val="single" w:sz="8" w:space="0" w:color="000000"/>
              <w:right w:val="nil"/>
            </w:tcBorders>
            <w:shd w:val="clear" w:color="auto" w:fill="F2F2F2"/>
            <w:tcMar>
              <w:top w:w="15" w:type="dxa"/>
              <w:left w:w="15" w:type="dxa"/>
              <w:bottom w:w="0" w:type="dxa"/>
              <w:right w:w="15" w:type="dxa"/>
            </w:tcMar>
            <w:vAlign w:val="center"/>
            <w:hideMark/>
          </w:tcPr>
          <w:p w14:paraId="2646D91A" w14:textId="77777777" w:rsidR="003F69A9" w:rsidRPr="003F69A9" w:rsidRDefault="003F69A9" w:rsidP="003F69A9">
            <w:pPr>
              <w:jc w:val="center"/>
              <w:rPr>
                <w:rFonts w:ascii="Times New Roman" w:eastAsia="Times New Roman" w:hAnsi="Times New Roman" w:cs="Times New Roman"/>
              </w:rPr>
            </w:pPr>
            <w:r w:rsidRPr="003F69A9">
              <w:rPr>
                <w:rFonts w:ascii="Calibri" w:eastAsia="Times New Roman" w:hAnsi="Calibri" w:cs="Calibri"/>
                <w:color w:val="000000"/>
                <w:sz w:val="18"/>
                <w:szCs w:val="18"/>
                <w:lang w:val="en-GB"/>
              </w:rPr>
              <w:t>0.1</w:t>
            </w:r>
          </w:p>
        </w:tc>
      </w:tr>
    </w:tbl>
    <w:p w14:paraId="2C7407B0" w14:textId="77777777" w:rsidR="003F69A9" w:rsidRPr="003F69A9" w:rsidRDefault="003F69A9" w:rsidP="003F69A9">
      <w:pPr>
        <w:spacing w:after="150"/>
        <w:rPr>
          <w:rFonts w:ascii="Helvetica" w:eastAsia="Times New Roman" w:hAnsi="Helvetica" w:cs="Times New Roman"/>
          <w:color w:val="133850"/>
          <w:sz w:val="20"/>
          <w:szCs w:val="20"/>
        </w:rPr>
      </w:pPr>
      <w:r w:rsidRPr="003F69A9">
        <w:rPr>
          <w:rFonts w:ascii="Helvetica" w:eastAsia="Times New Roman" w:hAnsi="Helvetica" w:cs="Times New Roman"/>
          <w:color w:val="133850"/>
          <w:sz w:val="20"/>
          <w:szCs w:val="20"/>
        </w:rPr>
        <w:t> </w:t>
      </w:r>
    </w:p>
    <w:p w14:paraId="7A57BD81" w14:textId="77777777" w:rsidR="003F69A9" w:rsidRPr="003F69A9" w:rsidRDefault="003F69A9" w:rsidP="003F69A9">
      <w:pPr>
        <w:spacing w:after="150"/>
        <w:rPr>
          <w:rFonts w:ascii="Helvetica" w:eastAsia="Times New Roman" w:hAnsi="Helvetica" w:cs="Times New Roman"/>
          <w:color w:val="133850"/>
          <w:sz w:val="20"/>
          <w:szCs w:val="20"/>
        </w:rPr>
      </w:pPr>
      <w:r w:rsidRPr="00755F2B">
        <w:rPr>
          <w:rFonts w:ascii="Helvetica" w:eastAsia="Times New Roman" w:hAnsi="Helvetica" w:cs="Times New Roman"/>
          <w:color w:val="133850"/>
          <w:sz w:val="20"/>
          <w:szCs w:val="20"/>
          <w:highlight w:val="darkGray"/>
        </w:rPr>
        <w:t>These results reported in Tables 1 and 2 do not take into account the targeted revisions to the CVA framework proposed by the </w:t>
      </w:r>
      <w:hyperlink r:id="rId5" w:history="1">
        <w:r w:rsidRPr="00755F2B">
          <w:rPr>
            <w:rFonts w:ascii="Helvetica" w:eastAsia="Times New Roman" w:hAnsi="Helvetica" w:cs="Times New Roman"/>
            <w:color w:val="267EB7"/>
            <w:sz w:val="20"/>
            <w:szCs w:val="20"/>
            <w:highlight w:val="darkGray"/>
          </w:rPr>
          <w:t>Basel Committee in November 2019</w:t>
        </w:r>
      </w:hyperlink>
      <w:r w:rsidRPr="00755F2B">
        <w:rPr>
          <w:rFonts w:ascii="Helvetica" w:eastAsia="Times New Roman" w:hAnsi="Helvetica" w:cs="Times New Roman"/>
          <w:color w:val="133850"/>
          <w:sz w:val="20"/>
          <w:szCs w:val="20"/>
          <w:highlight w:val="darkGray"/>
        </w:rPr>
        <w:t>, which are expected to further reduce the overall impact. Under a scenario in which the SA-CVA and BA-CVA capital requirements are recalibrated downwards by 10%, the impact on CVA will move from 3.9% to 3.4% (reducing the total impact from 23.6% to 23.1%). Since the impact is broadly linear, a 20% reduction (the lower bound proposed by BCBS) would produce impacts of 2.9%.</w:t>
      </w:r>
    </w:p>
    <w:p w14:paraId="130E0483" w14:textId="77777777" w:rsidR="003F69A9" w:rsidRPr="00755F2B" w:rsidRDefault="003F69A9" w:rsidP="003F69A9">
      <w:pPr>
        <w:spacing w:after="150"/>
        <w:rPr>
          <w:rFonts w:ascii="Helvetica" w:eastAsia="Times New Roman" w:hAnsi="Helvetica" w:cs="Times New Roman"/>
          <w:color w:val="133850"/>
          <w:sz w:val="20"/>
          <w:szCs w:val="20"/>
          <w:highlight w:val="darkGray"/>
        </w:rPr>
      </w:pPr>
      <w:r w:rsidRPr="00755F2B">
        <w:rPr>
          <w:rFonts w:ascii="Helvetica" w:eastAsia="Times New Roman" w:hAnsi="Helvetica" w:cs="Times New Roman"/>
          <w:b/>
          <w:bCs/>
          <w:color w:val="133850"/>
          <w:sz w:val="20"/>
          <w:szCs w:val="20"/>
          <w:highlight w:val="darkGray"/>
        </w:rPr>
        <w:t>Key findings of the macroeconomic impact assessment</w:t>
      </w:r>
    </w:p>
    <w:p w14:paraId="1BCFD8CE" w14:textId="77777777" w:rsidR="003F69A9" w:rsidRPr="00755F2B" w:rsidRDefault="003F69A9" w:rsidP="003F69A9">
      <w:pPr>
        <w:spacing w:after="150"/>
        <w:rPr>
          <w:rFonts w:ascii="Helvetica" w:eastAsia="Times New Roman" w:hAnsi="Helvetica" w:cs="Times New Roman"/>
          <w:color w:val="133850"/>
          <w:sz w:val="20"/>
          <w:szCs w:val="20"/>
          <w:highlight w:val="darkGray"/>
        </w:rPr>
      </w:pPr>
      <w:r w:rsidRPr="00755F2B">
        <w:rPr>
          <w:rFonts w:ascii="Helvetica" w:eastAsia="Times New Roman" w:hAnsi="Helvetica" w:cs="Times New Roman"/>
          <w:color w:val="133850"/>
          <w:sz w:val="20"/>
          <w:szCs w:val="20"/>
          <w:highlight w:val="darkGray"/>
        </w:rPr>
        <w:t xml:space="preserve">The assessment of the macroeconomic costs and benefits of the </w:t>
      </w:r>
      <w:proofErr w:type="spellStart"/>
      <w:r w:rsidRPr="00755F2B">
        <w:rPr>
          <w:rFonts w:ascii="Helvetica" w:eastAsia="Times New Roman" w:hAnsi="Helvetica" w:cs="Times New Roman"/>
          <w:color w:val="133850"/>
          <w:sz w:val="20"/>
          <w:szCs w:val="20"/>
          <w:highlight w:val="darkGray"/>
        </w:rPr>
        <w:t>finalisation</w:t>
      </w:r>
      <w:proofErr w:type="spellEnd"/>
      <w:r w:rsidRPr="00755F2B">
        <w:rPr>
          <w:rFonts w:ascii="Helvetica" w:eastAsia="Times New Roman" w:hAnsi="Helvetica" w:cs="Times New Roman"/>
          <w:color w:val="133850"/>
          <w:sz w:val="20"/>
          <w:szCs w:val="20"/>
          <w:highlight w:val="darkGray"/>
        </w:rPr>
        <w:t xml:space="preserve"> of the Basel III framework was carried out in cooperation with the ECB.</w:t>
      </w:r>
    </w:p>
    <w:p w14:paraId="0FBD07B1" w14:textId="77777777" w:rsidR="003F69A9" w:rsidRPr="003F69A9" w:rsidRDefault="003F69A9" w:rsidP="003F69A9">
      <w:pPr>
        <w:spacing w:after="150"/>
        <w:rPr>
          <w:rFonts w:ascii="Helvetica" w:eastAsia="Times New Roman" w:hAnsi="Helvetica" w:cs="Times New Roman"/>
          <w:color w:val="133850"/>
          <w:sz w:val="20"/>
          <w:szCs w:val="20"/>
        </w:rPr>
      </w:pPr>
      <w:r w:rsidRPr="00755F2B">
        <w:rPr>
          <w:rFonts w:ascii="Helvetica" w:eastAsia="Times New Roman" w:hAnsi="Helvetica" w:cs="Times New Roman"/>
          <w:color w:val="133850"/>
          <w:sz w:val="20"/>
          <w:szCs w:val="20"/>
          <w:highlight w:val="darkGray"/>
        </w:rPr>
        <w:t>The results show that the implementation of the Basel reforms will result in modest transitional costs, which fade over time. The long-term benefits are substantial and outweigh the modest transitory costs. The reform would mitigate the severity of future economic downturns through a reduction in both probability and intensity of future banking crises, leading to sizable long-term net benefits of around 0.6 percent of annual GDP level.</w:t>
      </w:r>
    </w:p>
    <w:p w14:paraId="61DCD542" w14:textId="77777777" w:rsidR="003F69A9" w:rsidRPr="00755F2B" w:rsidRDefault="003F69A9" w:rsidP="003F69A9">
      <w:pPr>
        <w:spacing w:after="150"/>
        <w:rPr>
          <w:rFonts w:ascii="Helvetica" w:eastAsia="Times New Roman" w:hAnsi="Helvetica" w:cs="Times New Roman"/>
          <w:color w:val="133850"/>
          <w:sz w:val="20"/>
          <w:szCs w:val="20"/>
          <w:highlight w:val="lightGray"/>
        </w:rPr>
      </w:pPr>
      <w:r w:rsidRPr="00755F2B">
        <w:rPr>
          <w:rFonts w:ascii="Helvetica" w:eastAsia="Times New Roman" w:hAnsi="Helvetica" w:cs="Times New Roman"/>
          <w:b/>
          <w:bCs/>
          <w:color w:val="133850"/>
          <w:sz w:val="20"/>
          <w:szCs w:val="20"/>
          <w:highlight w:val="lightGray"/>
        </w:rPr>
        <w:t>Key policy recommendations</w:t>
      </w:r>
    </w:p>
    <w:p w14:paraId="6FEE3B83" w14:textId="77777777" w:rsidR="003F69A9" w:rsidRPr="00755F2B" w:rsidRDefault="003F69A9" w:rsidP="003F69A9">
      <w:pPr>
        <w:spacing w:after="150"/>
        <w:rPr>
          <w:rFonts w:ascii="Helvetica" w:eastAsia="Times New Roman" w:hAnsi="Helvetica" w:cs="Times New Roman"/>
          <w:color w:val="133850"/>
          <w:sz w:val="20"/>
          <w:szCs w:val="20"/>
          <w:highlight w:val="lightGray"/>
        </w:rPr>
      </w:pPr>
      <w:r w:rsidRPr="00755F2B">
        <w:rPr>
          <w:rFonts w:ascii="Helvetica" w:eastAsia="Times New Roman" w:hAnsi="Helvetica" w:cs="Times New Roman"/>
          <w:color w:val="133850"/>
          <w:sz w:val="20"/>
          <w:szCs w:val="20"/>
          <w:highlight w:val="lightGray"/>
        </w:rPr>
        <w:t>The EBA also put forward detailed policy recommendations in the areas of CVA and market risk. Overall, it should be recalled that the EBA continues to support the full implementation of the final Basel III standards, which will contribute to the credibility of the EU banking sector and ensure a well-functioning global banking market. These reforms will increase financial stability, while at the same time allowing the continued use of risk-sensitive approaches.</w:t>
      </w:r>
    </w:p>
    <w:p w14:paraId="216DF811" w14:textId="77777777" w:rsidR="003F69A9" w:rsidRPr="00755F2B" w:rsidRDefault="003F69A9" w:rsidP="003F69A9">
      <w:pPr>
        <w:spacing w:after="150"/>
        <w:rPr>
          <w:rFonts w:ascii="Helvetica" w:eastAsia="Times New Roman" w:hAnsi="Helvetica" w:cs="Times New Roman"/>
          <w:color w:val="133850"/>
          <w:sz w:val="20"/>
          <w:szCs w:val="20"/>
          <w:highlight w:val="lightGray"/>
        </w:rPr>
      </w:pPr>
      <w:r w:rsidRPr="00755F2B">
        <w:rPr>
          <w:rFonts w:ascii="Helvetica" w:eastAsia="Times New Roman" w:hAnsi="Helvetica" w:cs="Times New Roman"/>
          <w:color w:val="133850"/>
          <w:sz w:val="20"/>
          <w:szCs w:val="20"/>
          <w:highlight w:val="lightGray"/>
        </w:rPr>
        <w:t>In the area of CVA risk the EBA recommends that:</w:t>
      </w:r>
    </w:p>
    <w:p w14:paraId="12D2782C" w14:textId="77777777" w:rsidR="003F69A9" w:rsidRPr="00755F2B" w:rsidRDefault="003F69A9" w:rsidP="003F69A9">
      <w:pPr>
        <w:numPr>
          <w:ilvl w:val="0"/>
          <w:numId w:val="1"/>
        </w:numPr>
        <w:spacing w:before="100" w:beforeAutospacing="1" w:after="100" w:afterAutospacing="1"/>
        <w:rPr>
          <w:rFonts w:ascii="Helvetica" w:eastAsia="Times New Roman" w:hAnsi="Helvetica" w:cs="Times New Roman"/>
          <w:color w:val="133850"/>
          <w:sz w:val="20"/>
          <w:szCs w:val="20"/>
          <w:highlight w:val="lightGray"/>
        </w:rPr>
      </w:pPr>
      <w:r w:rsidRPr="00755F2B">
        <w:rPr>
          <w:rFonts w:ascii="Helvetica" w:eastAsia="Times New Roman" w:hAnsi="Helvetica" w:cs="Times New Roman"/>
          <w:color w:val="133850"/>
          <w:sz w:val="20"/>
          <w:szCs w:val="20"/>
          <w:highlight w:val="lightGray"/>
        </w:rPr>
        <w:t>As the CVA risk generated by the CVA exemptions can be substantial, it should be captured prudentially. This will allow alignment with international standards on CVA risk and adherence to a risk-based capital requirements framework.</w:t>
      </w:r>
    </w:p>
    <w:p w14:paraId="2F58FB37" w14:textId="77777777" w:rsidR="003F69A9" w:rsidRPr="00755F2B" w:rsidRDefault="003F69A9" w:rsidP="003F69A9">
      <w:pPr>
        <w:numPr>
          <w:ilvl w:val="0"/>
          <w:numId w:val="1"/>
        </w:numPr>
        <w:spacing w:before="100" w:beforeAutospacing="1" w:after="100" w:afterAutospacing="1"/>
        <w:rPr>
          <w:rFonts w:ascii="Helvetica" w:eastAsia="Times New Roman" w:hAnsi="Helvetica" w:cs="Times New Roman"/>
          <w:color w:val="133850"/>
          <w:sz w:val="20"/>
          <w:szCs w:val="20"/>
          <w:highlight w:val="lightGray"/>
        </w:rPr>
      </w:pPr>
      <w:r w:rsidRPr="00755F2B">
        <w:rPr>
          <w:rFonts w:ascii="Helvetica" w:eastAsia="Times New Roman" w:hAnsi="Helvetica" w:cs="Times New Roman"/>
          <w:color w:val="133850"/>
          <w:sz w:val="20"/>
          <w:szCs w:val="20"/>
          <w:highlight w:val="lightGray"/>
        </w:rPr>
        <w:t xml:space="preserve">The use of the simplified treatment for CVA risk should be based on the proportionality framework for counterparty credit risk (CCR) already envisaged in the CRR2, and its use should be allowed to </w:t>
      </w:r>
      <w:proofErr w:type="gramStart"/>
      <w:r w:rsidRPr="00755F2B">
        <w:rPr>
          <w:rFonts w:ascii="Helvetica" w:eastAsia="Times New Roman" w:hAnsi="Helvetica" w:cs="Times New Roman"/>
          <w:color w:val="133850"/>
          <w:sz w:val="20"/>
          <w:szCs w:val="20"/>
          <w:highlight w:val="lightGray"/>
        </w:rPr>
        <w:t>firms</w:t>
      </w:r>
      <w:proofErr w:type="gramEnd"/>
      <w:r w:rsidRPr="00755F2B">
        <w:rPr>
          <w:rFonts w:ascii="Helvetica" w:eastAsia="Times New Roman" w:hAnsi="Helvetica" w:cs="Times New Roman"/>
          <w:color w:val="133850"/>
          <w:sz w:val="20"/>
          <w:szCs w:val="20"/>
          <w:highlight w:val="lightGray"/>
        </w:rPr>
        <w:t xml:space="preserve"> eligible to employ the simplified SA-CCR under the CRR2.</w:t>
      </w:r>
    </w:p>
    <w:p w14:paraId="03AA2E8C" w14:textId="77777777" w:rsidR="003F69A9" w:rsidRPr="003F69A9" w:rsidRDefault="003F69A9" w:rsidP="003F69A9">
      <w:pPr>
        <w:jc w:val="both"/>
        <w:rPr>
          <w:rFonts w:ascii="Helvetica" w:eastAsia="Times New Roman" w:hAnsi="Helvetica" w:cs="Times New Roman"/>
          <w:color w:val="133850"/>
          <w:sz w:val="20"/>
          <w:szCs w:val="20"/>
        </w:rPr>
      </w:pPr>
      <w:r w:rsidRPr="00755F2B">
        <w:rPr>
          <w:rFonts w:ascii="Calibri" w:eastAsia="Times New Roman" w:hAnsi="Calibri" w:cs="Calibri"/>
          <w:color w:val="133850"/>
          <w:sz w:val="22"/>
          <w:szCs w:val="22"/>
          <w:highlight w:val="lightGray"/>
        </w:rPr>
        <w:t>In the area of market risk, the EBA recommendations aim to ensure a smooth and consistent implementation of the revised market risk framework in the EU and, therefore, focus on issues identified in the market risk standards as implemented in the CRR/CRR2. In particular, they clarify the treatment for unrated covered bonds under the FRTB-</w:t>
      </w:r>
      <w:proofErr w:type="gramStart"/>
      <w:r w:rsidRPr="00755F2B">
        <w:rPr>
          <w:rFonts w:ascii="Calibri" w:eastAsia="Times New Roman" w:hAnsi="Calibri" w:cs="Calibri"/>
          <w:color w:val="133850"/>
          <w:sz w:val="22"/>
          <w:szCs w:val="22"/>
          <w:highlight w:val="lightGray"/>
        </w:rPr>
        <w:t>SA, and</w:t>
      </w:r>
      <w:proofErr w:type="gramEnd"/>
      <w:r w:rsidRPr="00755F2B">
        <w:rPr>
          <w:rFonts w:ascii="Calibri" w:eastAsia="Times New Roman" w:hAnsi="Calibri" w:cs="Calibri"/>
          <w:color w:val="133850"/>
          <w:sz w:val="22"/>
          <w:szCs w:val="22"/>
          <w:highlight w:val="lightGray"/>
        </w:rPr>
        <w:t xml:space="preserve"> support the use of the recalibrated (Basel II) </w:t>
      </w:r>
      <w:proofErr w:type="spellStart"/>
      <w:r w:rsidRPr="00755F2B">
        <w:rPr>
          <w:rFonts w:ascii="Calibri" w:eastAsia="Times New Roman" w:hAnsi="Calibri" w:cs="Calibri"/>
          <w:color w:val="133850"/>
          <w:sz w:val="22"/>
          <w:szCs w:val="22"/>
          <w:highlight w:val="lightGray"/>
        </w:rPr>
        <w:t>standardised</w:t>
      </w:r>
      <w:proofErr w:type="spellEnd"/>
      <w:r w:rsidRPr="00755F2B">
        <w:rPr>
          <w:rFonts w:ascii="Calibri" w:eastAsia="Times New Roman" w:hAnsi="Calibri" w:cs="Calibri"/>
          <w:color w:val="133850"/>
          <w:sz w:val="22"/>
          <w:szCs w:val="22"/>
          <w:highlight w:val="lightGray"/>
        </w:rPr>
        <w:t xml:space="preserve"> approach as a simplified approach for institutions not subject to the FRTB reporting requirement under the CRR2.</w:t>
      </w:r>
    </w:p>
    <w:p w14:paraId="32C861DD" w14:textId="77777777" w:rsidR="003F69A9" w:rsidRPr="003F69A9" w:rsidRDefault="003F69A9" w:rsidP="003F69A9">
      <w:pPr>
        <w:spacing w:after="150"/>
        <w:rPr>
          <w:rFonts w:ascii="Helvetica" w:eastAsia="Times New Roman" w:hAnsi="Helvetica" w:cs="Times New Roman"/>
          <w:color w:val="133850"/>
          <w:sz w:val="20"/>
          <w:szCs w:val="20"/>
        </w:rPr>
      </w:pPr>
      <w:r w:rsidRPr="003F69A9">
        <w:rPr>
          <w:rFonts w:ascii="Helvetica" w:eastAsia="Times New Roman" w:hAnsi="Helvetica" w:cs="Times New Roman"/>
          <w:color w:val="133850"/>
          <w:sz w:val="20"/>
          <w:szCs w:val="20"/>
        </w:rPr>
        <w:t> </w:t>
      </w:r>
    </w:p>
    <w:p w14:paraId="4C5F2D2E" w14:textId="77777777" w:rsidR="003F69A9" w:rsidRPr="003F69A9" w:rsidRDefault="003F69A9" w:rsidP="003F69A9">
      <w:pPr>
        <w:spacing w:before="450" w:after="150"/>
        <w:outlineLvl w:val="2"/>
        <w:rPr>
          <w:rFonts w:ascii="inherit" w:eastAsia="Times New Roman" w:hAnsi="inherit" w:cs="Times New Roman"/>
          <w:color w:val="E18A34"/>
          <w:sz w:val="26"/>
          <w:szCs w:val="26"/>
        </w:rPr>
      </w:pPr>
      <w:r w:rsidRPr="003F69A9">
        <w:rPr>
          <w:rFonts w:ascii="inherit" w:eastAsia="Times New Roman" w:hAnsi="inherit" w:cs="Times New Roman"/>
          <w:b/>
          <w:bCs/>
          <w:color w:val="E18A34"/>
          <w:sz w:val="26"/>
          <w:szCs w:val="26"/>
        </w:rPr>
        <w:t>Notes to editors</w:t>
      </w:r>
    </w:p>
    <w:p w14:paraId="7A552C01" w14:textId="77777777" w:rsidR="003F69A9" w:rsidRPr="003F69A9" w:rsidRDefault="003F69A9" w:rsidP="003F69A9">
      <w:pPr>
        <w:numPr>
          <w:ilvl w:val="0"/>
          <w:numId w:val="2"/>
        </w:numPr>
        <w:spacing w:before="100" w:beforeAutospacing="1" w:after="100" w:afterAutospacing="1"/>
        <w:rPr>
          <w:rFonts w:ascii="Helvetica" w:eastAsia="Times New Roman" w:hAnsi="Helvetica" w:cs="Times New Roman"/>
          <w:color w:val="133850"/>
          <w:sz w:val="20"/>
          <w:szCs w:val="20"/>
        </w:rPr>
      </w:pPr>
      <w:r w:rsidRPr="003F69A9">
        <w:rPr>
          <w:rFonts w:ascii="Helvetica" w:eastAsia="Times New Roman" w:hAnsi="Helvetica" w:cs="Times New Roman"/>
          <w:color w:val="133850"/>
          <w:sz w:val="20"/>
          <w:szCs w:val="20"/>
        </w:rPr>
        <w:t>Unlike the results published in the August 2019 report, which were based on the 2016 FRTB standards, the analysis published today accounts for the 2019 FRTB standards. Already in 2016, the EBA provided its </w:t>
      </w:r>
      <w:hyperlink r:id="rId6" w:history="1">
        <w:r w:rsidRPr="003F69A9">
          <w:rPr>
            <w:rFonts w:ascii="Helvetica" w:eastAsia="Times New Roman" w:hAnsi="Helvetica" w:cs="Times New Roman"/>
            <w:color w:val="267EB7"/>
            <w:sz w:val="20"/>
            <w:szCs w:val="20"/>
          </w:rPr>
          <w:t>advice on the implementation of the FRTB in the EU</w:t>
        </w:r>
      </w:hyperlink>
      <w:r w:rsidRPr="003F69A9">
        <w:rPr>
          <w:rFonts w:ascii="Helvetica" w:eastAsia="Times New Roman" w:hAnsi="Helvetica" w:cs="Times New Roman"/>
          <w:color w:val="133850"/>
          <w:sz w:val="20"/>
          <w:szCs w:val="20"/>
        </w:rPr>
        <w:t xml:space="preserve">. The policy </w:t>
      </w:r>
      <w:r w:rsidRPr="003F69A9">
        <w:rPr>
          <w:rFonts w:ascii="Helvetica" w:eastAsia="Times New Roman" w:hAnsi="Helvetica" w:cs="Times New Roman"/>
          <w:color w:val="133850"/>
          <w:sz w:val="20"/>
          <w:szCs w:val="20"/>
        </w:rPr>
        <w:lastRenderedPageBreak/>
        <w:t>recommendations put forward today, therefore, build on the CRR2 implementation of the FRTB in the EU.</w:t>
      </w:r>
    </w:p>
    <w:p w14:paraId="30860A97" w14:textId="77777777" w:rsidR="003F69A9" w:rsidRPr="003F69A9" w:rsidRDefault="003F69A9" w:rsidP="003F69A9">
      <w:pPr>
        <w:numPr>
          <w:ilvl w:val="0"/>
          <w:numId w:val="2"/>
        </w:numPr>
        <w:spacing w:before="100" w:beforeAutospacing="1" w:after="100" w:afterAutospacing="1"/>
        <w:rPr>
          <w:rFonts w:ascii="Helvetica" w:eastAsia="Times New Roman" w:hAnsi="Helvetica" w:cs="Times New Roman"/>
          <w:color w:val="133850"/>
          <w:sz w:val="20"/>
          <w:szCs w:val="20"/>
        </w:rPr>
      </w:pPr>
      <w:r w:rsidRPr="003F69A9">
        <w:rPr>
          <w:rFonts w:ascii="Helvetica" w:eastAsia="Times New Roman" w:hAnsi="Helvetica" w:cs="Times New Roman"/>
          <w:color w:val="133850"/>
          <w:sz w:val="20"/>
          <w:szCs w:val="20"/>
        </w:rPr>
        <w:t>The analysis includes Pillar 2 requirements and the full set of combined buffer requirements in the calculation of banks' minimum required capital and assumes that these requirements remain at current levels. Therefore, it cannot be directly compared to the figures the EBA publishes periodically in the context of regular Basel III monitoring exercises (e.g. latest one in October 2019) which limit the impact analysis to Pillar 1 minimum requirements and specific buffer requirements (capital conservation buffer and G-SII buffer where applicable).</w:t>
      </w:r>
    </w:p>
    <w:p w14:paraId="21510FCF" w14:textId="77777777" w:rsidR="003F69A9" w:rsidRPr="003F69A9" w:rsidRDefault="003F69A9" w:rsidP="003F69A9">
      <w:pPr>
        <w:numPr>
          <w:ilvl w:val="0"/>
          <w:numId w:val="2"/>
        </w:numPr>
        <w:spacing w:before="100" w:beforeAutospacing="1" w:after="100" w:afterAutospacing="1"/>
        <w:rPr>
          <w:rFonts w:ascii="Helvetica" w:eastAsia="Times New Roman" w:hAnsi="Helvetica" w:cs="Times New Roman"/>
          <w:color w:val="133850"/>
          <w:sz w:val="20"/>
          <w:szCs w:val="20"/>
        </w:rPr>
      </w:pPr>
      <w:r w:rsidRPr="003F69A9">
        <w:rPr>
          <w:rFonts w:ascii="Helvetica" w:eastAsia="Times New Roman" w:hAnsi="Helvetica" w:cs="Times New Roman"/>
          <w:color w:val="133850"/>
          <w:sz w:val="20"/>
          <w:szCs w:val="20"/>
        </w:rPr>
        <w:t>These results should also be read in conjunction with a set of conservative assumptions, in particular the assessment does not consider any adjustments in banks’ balance sheets nor authorities’ response to the implementation of Basel III.</w:t>
      </w:r>
    </w:p>
    <w:p w14:paraId="2255AAC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90DFB"/>
    <w:multiLevelType w:val="multilevel"/>
    <w:tmpl w:val="F6A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711AD"/>
    <w:multiLevelType w:val="multilevel"/>
    <w:tmpl w:val="8200A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4E"/>
    <w:rsid w:val="003F69A9"/>
    <w:rsid w:val="00453EED"/>
    <w:rsid w:val="00755F2B"/>
    <w:rsid w:val="00944C4E"/>
    <w:rsid w:val="00BE080D"/>
    <w:rsid w:val="00EC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92F63"/>
  <w14:defaultImageDpi w14:val="32767"/>
  <w15:chartTrackingRefBased/>
  <w15:docId w15:val="{2833BF59-FA32-8F41-8FC5-D266ACFA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F69A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69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9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69A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F69A9"/>
  </w:style>
  <w:style w:type="paragraph" w:customStyle="1" w:styleId="secondaryinfo">
    <w:name w:val="secondaryinfo"/>
    <w:basedOn w:val="Normal"/>
    <w:rsid w:val="003F69A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F69A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F69A9"/>
    <w:rPr>
      <w:b/>
      <w:bCs/>
    </w:rPr>
  </w:style>
  <w:style w:type="character" w:styleId="Hyperlink">
    <w:name w:val="Hyperlink"/>
    <w:basedOn w:val="DefaultParagraphFont"/>
    <w:uiPriority w:val="99"/>
    <w:semiHidden/>
    <w:unhideWhenUsed/>
    <w:rsid w:val="003F6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751421">
      <w:bodyDiv w:val="1"/>
      <w:marLeft w:val="0"/>
      <w:marRight w:val="0"/>
      <w:marTop w:val="0"/>
      <w:marBottom w:val="0"/>
      <w:divBdr>
        <w:top w:val="none" w:sz="0" w:space="0" w:color="auto"/>
        <w:left w:val="none" w:sz="0" w:space="0" w:color="auto"/>
        <w:bottom w:val="none" w:sz="0" w:space="0" w:color="auto"/>
        <w:right w:val="none" w:sz="0" w:space="0" w:color="auto"/>
      </w:divBdr>
      <w:divsChild>
        <w:div w:id="1455517570">
          <w:marLeft w:val="0"/>
          <w:marRight w:val="0"/>
          <w:marTop w:val="0"/>
          <w:marBottom w:val="0"/>
          <w:divBdr>
            <w:top w:val="none" w:sz="0" w:space="0" w:color="auto"/>
            <w:left w:val="none" w:sz="0" w:space="0" w:color="auto"/>
            <w:bottom w:val="none" w:sz="0" w:space="0" w:color="auto"/>
            <w:right w:val="none" w:sz="0" w:space="0" w:color="auto"/>
          </w:divBdr>
          <w:divsChild>
            <w:div w:id="10149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a.europa.eu/sites/default/documents/files/documents/10180/1648752/5ef848d1-7d52-4a80-abdf-f013e294759c/Report%20on%20SA%20CCR%20and%20FRTB%20implementation%20(EBA-Op-2016-19).pdf" TargetMode="External"/><Relationship Id="rId5" Type="http://schemas.openxmlformats.org/officeDocument/2006/relationships/hyperlink" Target="https://www.bis.org/bcbs/publ/d48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2020-02-15T08:53:00Z</dcterms:created>
  <dcterms:modified xsi:type="dcterms:W3CDTF">2020-04-13T09:43:00Z</dcterms:modified>
</cp:coreProperties>
</file>